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4E" w:rsidRPr="00D42201" w:rsidRDefault="00D42201">
      <w:pPr>
        <w:widowControl w:val="0"/>
        <w:spacing w:line="240" w:lineRule="auto"/>
        <w:ind w:left="-68" w:right="8579"/>
        <w:jc w:val="right"/>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Күні</w:t>
      </w:r>
      <w:r w:rsidR="00B13E59">
        <w:rPr>
          <w:rFonts w:ascii="Times New Roman" w:eastAsia="Times New Roman" w:hAnsi="Times New Roman" w:cs="Times New Roman"/>
          <w:color w:val="000000"/>
          <w:sz w:val="23"/>
          <w:szCs w:val="23"/>
        </w:rPr>
        <w:t xml:space="preserve"> ___</w:t>
      </w:r>
      <w:r w:rsidR="00B13E59">
        <w:rPr>
          <w:rFonts w:ascii="Times New Roman" w:eastAsia="Times New Roman" w:hAnsi="Times New Roman" w:cs="Times New Roman"/>
          <w:color w:val="000000"/>
          <w:spacing w:val="1"/>
          <w:sz w:val="23"/>
          <w:szCs w:val="23"/>
        </w:rPr>
        <w:t>_</w:t>
      </w:r>
      <w:r w:rsidR="00B13E59">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pacing w:val="1"/>
          <w:sz w:val="23"/>
          <w:szCs w:val="23"/>
          <w:lang w:val="kk-KZ"/>
        </w:rPr>
        <w:t xml:space="preserve">Мөр орны </w:t>
      </w:r>
    </w:p>
    <w:p w:rsidR="00F92E4E" w:rsidRDefault="00F92E4E">
      <w:pPr>
        <w:spacing w:line="240" w:lineRule="exact"/>
        <w:rPr>
          <w:rFonts w:ascii="Times New Roman" w:eastAsia="Times New Roman" w:hAnsi="Times New Roman" w:cs="Times New Roman"/>
          <w:sz w:val="24"/>
          <w:szCs w:val="24"/>
        </w:rPr>
      </w:pPr>
    </w:p>
    <w:p w:rsidR="00F92E4E" w:rsidRDefault="00F92E4E">
      <w:pPr>
        <w:spacing w:after="11" w:line="240" w:lineRule="exact"/>
        <w:rPr>
          <w:rFonts w:ascii="Times New Roman" w:eastAsia="Times New Roman" w:hAnsi="Times New Roman" w:cs="Times New Roman"/>
          <w:sz w:val="24"/>
          <w:szCs w:val="24"/>
        </w:rPr>
      </w:pPr>
    </w:p>
    <w:p w:rsidR="00F92E4E" w:rsidRDefault="00F92E4E">
      <w:pPr>
        <w:sectPr w:rsidR="00F92E4E">
          <w:type w:val="continuous"/>
          <w:pgSz w:w="11905" w:h="16837"/>
          <w:pgMar w:top="563" w:right="850" w:bottom="1134" w:left="1133" w:header="0" w:footer="0" w:gutter="0"/>
          <w:cols w:space="708"/>
        </w:sectPr>
      </w:pPr>
    </w:p>
    <w:p w:rsidR="00F92E4E" w:rsidRDefault="00B13E59">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sidR="00D42201">
        <w:rPr>
          <w:rFonts w:ascii="Times New Roman" w:eastAsia="Times New Roman" w:hAnsi="Times New Roman" w:cs="Times New Roman"/>
          <w:color w:val="000000"/>
          <w:spacing w:val="5"/>
          <w:sz w:val="23"/>
          <w:szCs w:val="23"/>
          <w:lang w:val="kk-KZ"/>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sidR="00D42201">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rsidR="00F92E4E" w:rsidRDefault="00B13E59">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F92E4E" w:rsidRDefault="00F92E4E">
      <w:pPr>
        <w:sectPr w:rsidR="00F92E4E">
          <w:type w:val="continuous"/>
          <w:pgSz w:w="11905" w:h="16837"/>
          <w:pgMar w:top="563" w:right="850" w:bottom="1134" w:left="1133" w:header="0" w:footer="0" w:gutter="0"/>
          <w:cols w:num="2" w:space="708" w:equalWidth="0">
            <w:col w:w="3804" w:space="1943"/>
            <w:col w:w="4175" w:space="0"/>
          </w:cols>
        </w:sectPr>
      </w:pPr>
    </w:p>
    <w:p w:rsidR="00F92E4E" w:rsidRDefault="00F92E4E">
      <w:pPr>
        <w:spacing w:after="16" w:line="140" w:lineRule="exact"/>
        <w:rPr>
          <w:sz w:val="14"/>
          <w:szCs w:val="14"/>
        </w:rPr>
      </w:pPr>
    </w:p>
    <w:p w:rsidR="00F92E4E" w:rsidRDefault="00D42201" w:rsidP="00D42201">
      <w:pPr>
        <w:widowControl w:val="0"/>
        <w:spacing w:line="240" w:lineRule="auto"/>
        <w:ind w:left="3964" w:right="-20"/>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 xml:space="preserve">Дәрілік препарттың қауіпсіздігі, тиімділігі мен сапасы  жөніндегі жиынтық есеп </w:t>
      </w: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after="7" w:line="120" w:lineRule="exact"/>
        <w:rPr>
          <w:rFonts w:ascii="Times New Roman" w:eastAsia="Times New Roman" w:hAnsi="Times New Roman" w:cs="Times New Roman"/>
          <w:w w:val="103"/>
          <w:sz w:val="12"/>
          <w:szCs w:val="12"/>
        </w:rPr>
      </w:pPr>
    </w:p>
    <w:p w:rsidR="00F92E4E" w:rsidRDefault="00B13E59">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0"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F92E4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CD2277">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F92E4E">
                                  <w:pPr>
                                    <w:spacing w:after="9" w:line="140" w:lineRule="exact"/>
                                    <w:rPr>
                                      <w:sz w:val="14"/>
                                      <w:szCs w:val="14"/>
                                    </w:rPr>
                                  </w:pPr>
                                </w:p>
                                <w:p w:rsidR="00F92E4E" w:rsidRDefault="00B13E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3"/>
                                      <w:sz w:val="23"/>
                                      <w:szCs w:val="23"/>
                                    </w:rPr>
                                    <w:t>ум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w:t>
                                  </w:r>
                                </w:p>
                              </w:tc>
                            </w:tr>
                            <w:tr w:rsidR="00F92E4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CD227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B13E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ТР</w:t>
                                  </w:r>
                                  <w:r>
                                    <w:rPr>
                                      <w:rFonts w:ascii="Times New Roman" w:eastAsia="Times New Roman" w:hAnsi="Times New Roman" w:cs="Times New Roman"/>
                                      <w:color w:val="000000"/>
                                      <w:spacing w:val="5"/>
                                      <w:sz w:val="23"/>
                                      <w:szCs w:val="23"/>
                                    </w:rPr>
                                    <w:t>ИО</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z w:val="23"/>
                                      <w:szCs w:val="23"/>
                                    </w:rPr>
                                    <w:t>.</w:t>
                                  </w:r>
                                </w:p>
                              </w:tc>
                            </w:tr>
                            <w:tr w:rsidR="00F92E4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CD227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B13E59">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rPr>
                                    <w:t xml:space="preserve"> К</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РЕ</w:t>
                                  </w:r>
                                  <w:r w:rsidR="00CD2277">
                                    <w:rPr>
                                      <w:rFonts w:ascii="Times New Roman" w:eastAsia="Times New Roman" w:hAnsi="Times New Roman" w:cs="Times New Roman"/>
                                      <w:color w:val="000000"/>
                                      <w:sz w:val="23"/>
                                      <w:szCs w:val="23"/>
                                    </w:rPr>
                                    <w:t xml:space="preserve">Й </w:t>
                                  </w:r>
                                  <w:r w:rsidR="00CD2277">
                                    <w:rPr>
                                      <w:rFonts w:ascii="Times New Roman" w:eastAsia="Times New Roman" w:hAnsi="Times New Roman" w:cs="Times New Roman"/>
                                      <w:color w:val="000000"/>
                                      <w:sz w:val="23"/>
                                      <w:szCs w:val="23"/>
                                      <w:lang w:val="kk-KZ"/>
                                    </w:rPr>
                                    <w:t>РЕСПУБЛИКАСЫ</w:t>
                                  </w:r>
                                </w:p>
                              </w:tc>
                            </w:tr>
                          </w:tbl>
                          <w:p w:rsidR="00843014" w:rsidRDefault="00843014"/>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F92E4E">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CD2277">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F92E4E">
                            <w:pPr>
                              <w:spacing w:after="9" w:line="140" w:lineRule="exact"/>
                              <w:rPr>
                                <w:sz w:val="14"/>
                                <w:szCs w:val="14"/>
                              </w:rPr>
                            </w:pPr>
                          </w:p>
                          <w:p w:rsidR="00F92E4E" w:rsidRDefault="00B13E59">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3"/>
                                <w:sz w:val="23"/>
                                <w:szCs w:val="23"/>
                              </w:rPr>
                              <w:t>ум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w:t>
                            </w:r>
                          </w:p>
                        </w:tc>
                      </w:tr>
                      <w:tr w:rsidR="00F92E4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CD227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Өндіруші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B13E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ТР</w:t>
                            </w:r>
                            <w:r>
                              <w:rPr>
                                <w:rFonts w:ascii="Times New Roman" w:eastAsia="Times New Roman" w:hAnsi="Times New Roman" w:cs="Times New Roman"/>
                                <w:color w:val="000000"/>
                                <w:spacing w:val="5"/>
                                <w:sz w:val="23"/>
                                <w:szCs w:val="23"/>
                              </w:rPr>
                              <w:t>ИО</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4"/>
                                <w:sz w:val="23"/>
                                <w:szCs w:val="23"/>
                              </w:rPr>
                              <w:t>к</w:t>
                            </w:r>
                            <w:r>
                              <w:rPr>
                                <w:rFonts w:ascii="Times New Roman" w:eastAsia="Times New Roman" w:hAnsi="Times New Roman" w:cs="Times New Roman"/>
                                <w:color w:val="000000"/>
                                <w:sz w:val="23"/>
                                <w:szCs w:val="23"/>
                              </w:rPr>
                              <w:t>.</w:t>
                            </w:r>
                          </w:p>
                        </w:tc>
                      </w:tr>
                      <w:tr w:rsidR="00F92E4E">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CD227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B13E59">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rPr>
                              <w:t xml:space="preserve"> К</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РЕ</w:t>
                            </w:r>
                            <w:r w:rsidR="00CD2277">
                              <w:rPr>
                                <w:rFonts w:ascii="Times New Roman" w:eastAsia="Times New Roman" w:hAnsi="Times New Roman" w:cs="Times New Roman"/>
                                <w:color w:val="000000"/>
                                <w:sz w:val="23"/>
                                <w:szCs w:val="23"/>
                              </w:rPr>
                              <w:t xml:space="preserve">Й </w:t>
                            </w:r>
                            <w:r w:rsidR="00CD2277">
                              <w:rPr>
                                <w:rFonts w:ascii="Times New Roman" w:eastAsia="Times New Roman" w:hAnsi="Times New Roman" w:cs="Times New Roman"/>
                                <w:color w:val="000000"/>
                                <w:sz w:val="23"/>
                                <w:szCs w:val="23"/>
                                <w:lang w:val="kk-KZ"/>
                              </w:rPr>
                              <w:t>РЕСПУБЛИКАСЫ</w:t>
                            </w:r>
                          </w:p>
                        </w:tc>
                      </w:tr>
                    </w:tbl>
                    <w:p w:rsidR="00843014" w:rsidRDefault="00843014"/>
                  </w:txbxContent>
                </v:textbox>
                <w10:wrap anchorx="page"/>
              </v:shape>
            </w:pict>
          </mc:Fallback>
        </mc:AlternateContent>
      </w:r>
      <w:r w:rsidR="00CD2277">
        <w:rPr>
          <w:rFonts w:ascii="Times New Roman" w:eastAsia="Times New Roman" w:hAnsi="Times New Roman" w:cs="Times New Roman"/>
          <w:color w:val="000000"/>
          <w:spacing w:val="4"/>
          <w:w w:val="103"/>
          <w:sz w:val="26"/>
          <w:szCs w:val="26"/>
          <w:lang w:val="kk-KZ"/>
        </w:rPr>
        <w:t xml:space="preserve">Қашықтықтан құпия ақпарат есебінен </w:t>
      </w:r>
    </w:p>
    <w:p w:rsidR="00F92E4E" w:rsidRDefault="00F92E4E">
      <w:pPr>
        <w:spacing w:line="240" w:lineRule="exact"/>
        <w:rPr>
          <w:rFonts w:ascii="Times New Roman" w:eastAsia="Times New Roman" w:hAnsi="Times New Roman" w:cs="Times New Roman"/>
          <w:w w:val="103"/>
          <w:sz w:val="24"/>
          <w:szCs w:val="24"/>
        </w:rPr>
      </w:pPr>
    </w:p>
    <w:p w:rsidR="00F92E4E" w:rsidRDefault="00F92E4E">
      <w:pPr>
        <w:spacing w:after="2" w:line="140" w:lineRule="exact"/>
        <w:rPr>
          <w:rFonts w:ascii="Times New Roman" w:eastAsia="Times New Roman" w:hAnsi="Times New Roman" w:cs="Times New Roman"/>
          <w:w w:val="103"/>
          <w:sz w:val="14"/>
          <w:szCs w:val="14"/>
        </w:rPr>
      </w:pPr>
    </w:p>
    <w:p w:rsidR="00F92E4E" w:rsidRDefault="00B13E59">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D2277">
        <w:rPr>
          <w:rFonts w:ascii="Times New Roman" w:eastAsia="Times New Roman" w:hAnsi="Times New Roman" w:cs="Times New Roman"/>
          <w:color w:val="000000"/>
          <w:spacing w:val="11"/>
          <w:sz w:val="26"/>
          <w:szCs w:val="26"/>
          <w:lang w:val="kk-KZ"/>
        </w:rPr>
        <w:t xml:space="preserve">Рәсімі туралы анықтамалық ақпарат </w:t>
      </w:r>
    </w:p>
    <w:p w:rsidR="00F92E4E" w:rsidRDefault="00F92E4E">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F92E4E">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B13E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CD2277" w:rsidP="00CD2277">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Мемлекеттік тіркеу кезінде  дәрілік затты сараптама жүргізуге  тіркеу құжатын беру </w:t>
            </w:r>
          </w:p>
        </w:tc>
      </w:tr>
    </w:tbl>
    <w:p w:rsidR="00F92E4E" w:rsidRDefault="00F92E4E">
      <w:pPr>
        <w:spacing w:after="3" w:line="220" w:lineRule="exact"/>
      </w:pPr>
    </w:p>
    <w:p w:rsidR="00F92E4E" w:rsidRDefault="00B13E59">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D2277">
        <w:rPr>
          <w:rFonts w:ascii="Times New Roman" w:eastAsia="Times New Roman" w:hAnsi="Times New Roman" w:cs="Times New Roman"/>
          <w:color w:val="000000"/>
          <w:spacing w:val="6"/>
          <w:w w:val="103"/>
          <w:sz w:val="26"/>
          <w:szCs w:val="26"/>
        </w:rPr>
        <w:t>Ғылыми талқылау</w:t>
      </w:r>
    </w:p>
    <w:p w:rsidR="00F92E4E" w:rsidRDefault="00F92E4E">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F92E4E">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Default="00B13E5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92E4E" w:rsidRPr="00CD2277" w:rsidRDefault="00CD2277">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Сапа аспектілері</w:t>
            </w:r>
          </w:p>
        </w:tc>
      </w:tr>
    </w:tbl>
    <w:p w:rsidR="00F92E4E" w:rsidRDefault="00F92E4E">
      <w:pPr>
        <w:sectPr w:rsidR="00F92E4E">
          <w:type w:val="continuous"/>
          <w:pgSz w:w="11905" w:h="16837"/>
          <w:pgMar w:top="563" w:right="850" w:bottom="1134" w:left="1133" w:header="0" w:footer="0" w:gutter="0"/>
          <w:cols w:space="708"/>
        </w:sectPr>
      </w:pPr>
    </w:p>
    <w:tbl>
      <w:tblPr>
        <w:tblStyle w:val="a5"/>
        <w:tblW w:w="0" w:type="auto"/>
        <w:tblLook w:val="04A0" w:firstRow="1" w:lastRow="0" w:firstColumn="1" w:lastColumn="0" w:noHBand="0" w:noVBand="1"/>
      </w:tblPr>
      <w:tblGrid>
        <w:gridCol w:w="1413"/>
        <w:gridCol w:w="2551"/>
        <w:gridCol w:w="5381"/>
      </w:tblGrid>
      <w:tr w:rsidR="00F44E5C" w:rsidTr="00BE799C">
        <w:tc>
          <w:tcPr>
            <w:tcW w:w="1413" w:type="dxa"/>
          </w:tcPr>
          <w:p w:rsidR="00F44E5C" w:rsidRDefault="00F44E5C" w:rsidP="00BE799C">
            <w:pPr>
              <w:rPr>
                <w:lang w:val="en-US"/>
              </w:rPr>
            </w:pPr>
          </w:p>
        </w:tc>
        <w:tc>
          <w:tcPr>
            <w:tcW w:w="2551" w:type="dxa"/>
          </w:tcPr>
          <w:p w:rsidR="00F44E5C" w:rsidRDefault="00F44E5C" w:rsidP="00BE799C">
            <w:pPr>
              <w:rPr>
                <w:lang w:val="en-US"/>
              </w:rPr>
            </w:pPr>
          </w:p>
        </w:tc>
        <w:tc>
          <w:tcPr>
            <w:tcW w:w="5381" w:type="dxa"/>
          </w:tcPr>
          <w:p w:rsidR="00F44E5C" w:rsidRDefault="00F44E5C" w:rsidP="00BE799C">
            <w:pPr>
              <w:rPr>
                <w:lang w:val="en-US"/>
              </w:rPr>
            </w:pPr>
          </w:p>
        </w:tc>
      </w:tr>
      <w:tr w:rsidR="00F44E5C" w:rsidRPr="00F44E5C" w:rsidTr="00BE799C">
        <w:tc>
          <w:tcPr>
            <w:tcW w:w="1413" w:type="dxa"/>
          </w:tcPr>
          <w:p w:rsidR="00F44E5C" w:rsidRPr="00BF0E13" w:rsidRDefault="003D4F6B" w:rsidP="00BE799C">
            <w:pPr>
              <w:rPr>
                <w:lang w:val="kk-KZ"/>
              </w:rPr>
            </w:pPr>
            <w:r>
              <w:t>2</w:t>
            </w:r>
            <w:r w:rsidR="00BF0E13">
              <w:rPr>
                <w:lang w:val="kk-KZ"/>
              </w:rPr>
              <w:t>.1.1</w:t>
            </w:r>
          </w:p>
        </w:tc>
        <w:tc>
          <w:tcPr>
            <w:tcW w:w="2551" w:type="dxa"/>
          </w:tcPr>
          <w:p w:rsidR="00F44E5C" w:rsidRPr="003D4F6B" w:rsidRDefault="00F44E5C" w:rsidP="00BE799C">
            <w:r>
              <w:rPr>
                <w:rFonts w:ascii="Times New Roman" w:eastAsia="Times New Roman" w:hAnsi="Times New Roman" w:cs="Times New Roman"/>
                <w:color w:val="000000"/>
                <w:spacing w:val="4"/>
                <w:sz w:val="23"/>
                <w:szCs w:val="23"/>
                <w:lang w:val="kk-KZ"/>
              </w:rPr>
              <w:t xml:space="preserve">Белсенді </w:t>
            </w:r>
            <w:r w:rsidRPr="003D4F6B">
              <w:rPr>
                <w:rFonts w:ascii="Times New Roman" w:eastAsia="Times New Roman" w:hAnsi="Times New Roman" w:cs="Times New Roman"/>
                <w:color w:val="000000"/>
                <w:spacing w:val="106"/>
                <w:sz w:val="23"/>
                <w:szCs w:val="23"/>
              </w:rPr>
              <w:t xml:space="preserve">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ар</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ц</w:t>
            </w:r>
            <w:r>
              <w:rPr>
                <w:rFonts w:ascii="Times New Roman" w:eastAsia="Times New Roman" w:hAnsi="Times New Roman" w:cs="Times New Roman"/>
                <w:color w:val="000000"/>
                <w:spacing w:val="1"/>
                <w:sz w:val="23"/>
                <w:szCs w:val="23"/>
              </w:rPr>
              <w:t>евт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lang w:val="kk-KZ"/>
              </w:rPr>
              <w:t>калық</w:t>
            </w:r>
            <w:r w:rsidRPr="003D4F6B">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sidRPr="003D4F6B">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шығу тегі, сапасы  туралы мәліметті талдау субстанцияны пайдалану мүмкіндігі туралы қорытынды </w:t>
            </w:r>
            <w:r w:rsidRPr="003D4F6B">
              <w:rPr>
                <w:rFonts w:ascii="Times New Roman" w:eastAsia="Times New Roman" w:hAnsi="Times New Roman" w:cs="Times New Roman"/>
                <w:color w:val="000000"/>
                <w:spacing w:val="9"/>
                <w:sz w:val="23"/>
                <w:szCs w:val="23"/>
              </w:rPr>
              <w:t xml:space="preserve"> </w:t>
            </w:r>
          </w:p>
        </w:tc>
        <w:tc>
          <w:tcPr>
            <w:tcW w:w="5381" w:type="dxa"/>
          </w:tcPr>
          <w:p w:rsidR="00F44E5C" w:rsidRPr="003D4F6B" w:rsidRDefault="00F44E5C" w:rsidP="00BE799C">
            <w:pPr>
              <w:spacing w:after="15" w:line="200" w:lineRule="exact"/>
              <w:rPr>
                <w:sz w:val="20"/>
                <w:szCs w:val="20"/>
              </w:rPr>
            </w:pPr>
          </w:p>
          <w:p w:rsidR="00F44E5C" w:rsidRPr="003D4F6B" w:rsidRDefault="00F44E5C" w:rsidP="00BE799C">
            <w:pPr>
              <w:widowControl w:val="0"/>
              <w:ind w:left="60" w:right="-16"/>
              <w:rPr>
                <w:rFonts w:ascii="Times New Roman" w:eastAsia="Times New Roman" w:hAnsi="Times New Roman" w:cs="Times New Roman"/>
                <w:color w:val="000000"/>
                <w:spacing w:val="3"/>
                <w:sz w:val="23"/>
                <w:szCs w:val="23"/>
              </w:rPr>
            </w:pP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 xml:space="preserve">6 </w:t>
            </w:r>
            <w:r w:rsidRPr="00D42201">
              <w:rPr>
                <w:rFonts w:ascii="Times New Roman" w:eastAsia="Times New Roman" w:hAnsi="Times New Roman" w:cs="Times New Roman"/>
                <w:color w:val="000000"/>
                <w:spacing w:val="3"/>
                <w:sz w:val="23"/>
                <w:szCs w:val="23"/>
              </w:rPr>
              <w:t>дәрілік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заттың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партиясы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w:t>
            </w:r>
            <w:r w:rsidRPr="003D4F6B">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б</w:t>
            </w:r>
            <w:r w:rsidRPr="00D42201">
              <w:rPr>
                <w:rFonts w:ascii="Times New Roman" w:eastAsia="Times New Roman" w:hAnsi="Times New Roman" w:cs="Times New Roman"/>
                <w:color w:val="000000"/>
                <w:spacing w:val="3"/>
                <w:sz w:val="23"/>
                <w:szCs w:val="23"/>
              </w:rPr>
              <w:t>анкінің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жұмыс</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құтысынан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алынады</w:t>
            </w:r>
            <w:r w:rsidRPr="003D4F6B">
              <w:rPr>
                <w:rFonts w:ascii="Times New Roman" w:eastAsia="Times New Roman" w:hAnsi="Times New Roman" w:cs="Times New Roman"/>
                <w:color w:val="000000"/>
                <w:spacing w:val="3"/>
                <w:sz w:val="23"/>
                <w:szCs w:val="23"/>
              </w:rPr>
              <w:t xml:space="preserve">. </w:t>
            </w: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 xml:space="preserve">6 </w:t>
            </w:r>
            <w:r w:rsidRPr="00D42201">
              <w:rPr>
                <w:rFonts w:ascii="Times New Roman" w:eastAsia="Times New Roman" w:hAnsi="Times New Roman" w:cs="Times New Roman"/>
                <w:color w:val="000000"/>
                <w:spacing w:val="3"/>
                <w:sz w:val="23"/>
                <w:szCs w:val="23"/>
              </w:rPr>
              <w:t>дәрілік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заттың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партиясы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шамамен</w:t>
            </w:r>
            <w:r w:rsidRPr="003D4F6B">
              <w:rPr>
                <w:rFonts w:ascii="Times New Roman" w:eastAsia="Times New Roman" w:hAnsi="Times New Roman" w:cs="Times New Roman"/>
                <w:color w:val="000000"/>
                <w:spacing w:val="3"/>
                <w:sz w:val="23"/>
                <w:szCs w:val="23"/>
              </w:rPr>
              <w:t xml:space="preserve"> 10 000 </w:t>
            </w:r>
            <w:r w:rsidRPr="00D42201">
              <w:rPr>
                <w:rFonts w:ascii="Times New Roman" w:eastAsia="Times New Roman" w:hAnsi="Times New Roman" w:cs="Times New Roman"/>
                <w:color w:val="000000"/>
                <w:spacing w:val="3"/>
                <w:sz w:val="23"/>
                <w:szCs w:val="23"/>
              </w:rPr>
              <w:t>г</w:t>
            </w:r>
            <w:r w:rsidRPr="003D4F6B">
              <w:rPr>
                <w:rFonts w:ascii="Times New Roman" w:eastAsia="Times New Roman" w:hAnsi="Times New Roman" w:cs="Times New Roman"/>
                <w:color w:val="000000"/>
                <w:spacing w:val="3"/>
                <w:sz w:val="23"/>
                <w:szCs w:val="23"/>
              </w:rPr>
              <w:t xml:space="preserve"> </w:t>
            </w: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 xml:space="preserve">6 </w:t>
            </w:r>
            <w:r w:rsidRPr="00D42201">
              <w:rPr>
                <w:rFonts w:ascii="Times New Roman" w:eastAsia="Times New Roman" w:hAnsi="Times New Roman" w:cs="Times New Roman"/>
                <w:color w:val="000000"/>
                <w:spacing w:val="3"/>
                <w:sz w:val="23"/>
                <w:szCs w:val="23"/>
              </w:rPr>
              <w:t>бере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отырып</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өндірістік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биореактордан</w:t>
            </w:r>
            <w:r w:rsidRPr="003D4F6B">
              <w:rPr>
                <w:rFonts w:ascii="Times New Roman" w:eastAsia="Times New Roman" w:hAnsi="Times New Roman" w:cs="Times New Roman"/>
                <w:color w:val="000000"/>
                <w:spacing w:val="3"/>
                <w:sz w:val="23"/>
                <w:szCs w:val="23"/>
              </w:rPr>
              <w:t xml:space="preserve"> (15 000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өнімнен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тазартылады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Өсіру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процесі</w:t>
            </w:r>
            <w:r w:rsidRPr="003D4F6B">
              <w:rPr>
                <w:rFonts w:ascii="Times New Roman" w:eastAsia="Times New Roman" w:hAnsi="Times New Roman" w:cs="Times New Roman"/>
                <w:color w:val="000000"/>
                <w:spacing w:val="3"/>
                <w:sz w:val="23"/>
                <w:szCs w:val="23"/>
              </w:rPr>
              <w:t xml:space="preserve"> 37 ° </w:t>
            </w:r>
            <w:r w:rsidRPr="00F44E5C">
              <w:rPr>
                <w:rFonts w:ascii="Times New Roman" w:eastAsia="Times New Roman" w:hAnsi="Times New Roman" w:cs="Times New Roman"/>
                <w:color w:val="000000"/>
                <w:spacing w:val="3"/>
                <w:sz w:val="23"/>
                <w:szCs w:val="23"/>
                <w:lang w:val="en-US"/>
              </w:rPr>
              <w:t>C</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кезінде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жұмыс</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банкімен</w:t>
            </w:r>
            <w:r w:rsidRPr="003D4F6B">
              <w:rPr>
                <w:rFonts w:ascii="Times New Roman" w:eastAsia="Times New Roman" w:hAnsi="Times New Roman" w:cs="Times New Roman"/>
                <w:color w:val="000000"/>
                <w:spacing w:val="3"/>
                <w:sz w:val="23"/>
                <w:szCs w:val="23"/>
              </w:rPr>
              <w:t xml:space="preserve"> (</w:t>
            </w:r>
            <w:r w:rsidRPr="00F44E5C">
              <w:rPr>
                <w:rFonts w:ascii="Times New Roman" w:eastAsia="Times New Roman" w:hAnsi="Times New Roman" w:cs="Times New Roman"/>
                <w:color w:val="000000"/>
                <w:spacing w:val="3"/>
                <w:sz w:val="23"/>
                <w:szCs w:val="23"/>
                <w:lang w:val="en-US"/>
              </w:rPr>
              <w:t>WCB</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құтының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жібуінен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басталады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жеткілікті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санына</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жеткенде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тұқымдарды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одан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әрі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көбейту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үшін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тұқым</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үшін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биореакторлар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сериясын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пайдаланады</w:t>
            </w:r>
            <w:r w:rsidRPr="003D4F6B">
              <w:rPr>
                <w:rFonts w:ascii="Times New Roman" w:eastAsia="Times New Roman" w:hAnsi="Times New Roman" w:cs="Times New Roman"/>
                <w:color w:val="000000"/>
                <w:spacing w:val="3"/>
                <w:sz w:val="23"/>
                <w:szCs w:val="23"/>
              </w:rPr>
              <w:t xml:space="preserve">, 24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 xml:space="preserve">, 120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 xml:space="preserve">, 600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және</w:t>
            </w:r>
            <w:r w:rsidRPr="003D4F6B">
              <w:rPr>
                <w:rFonts w:ascii="Times New Roman" w:eastAsia="Times New Roman" w:hAnsi="Times New Roman" w:cs="Times New Roman"/>
                <w:color w:val="000000"/>
                <w:spacing w:val="3"/>
                <w:sz w:val="23"/>
                <w:szCs w:val="23"/>
              </w:rPr>
              <w:t xml:space="preserve"> 4500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w:t>
            </w:r>
            <w:r w:rsidRPr="00D42201">
              <w:rPr>
                <w:rFonts w:ascii="Times New Roman" w:eastAsia="Times New Roman" w:hAnsi="Times New Roman" w:cs="Times New Roman"/>
                <w:color w:val="000000"/>
                <w:spacing w:val="3"/>
                <w:sz w:val="23"/>
                <w:szCs w:val="23"/>
              </w:rPr>
              <w:t>содан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кейін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көлемі</w:t>
            </w:r>
            <w:r w:rsidRPr="003D4F6B">
              <w:rPr>
                <w:rFonts w:ascii="Times New Roman" w:eastAsia="Times New Roman" w:hAnsi="Times New Roman" w:cs="Times New Roman"/>
                <w:color w:val="000000"/>
                <w:spacing w:val="3"/>
                <w:sz w:val="23"/>
                <w:szCs w:val="23"/>
              </w:rPr>
              <w:t xml:space="preserve"> 15000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биореакторды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қоректендіру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режимі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бар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өндірістік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биореактор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ретінде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пайдаланады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және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жинайды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өсіруге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арналған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сұйықтықты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кейіннен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терең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сүзу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арқылы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үздіксіз</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дискілі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шынысы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бар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Центрифуганы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және</w:t>
            </w:r>
            <w:r w:rsidRPr="003D4F6B">
              <w:rPr>
                <w:rFonts w:ascii="Times New Roman" w:eastAsia="Times New Roman" w:hAnsi="Times New Roman" w:cs="Times New Roman"/>
                <w:color w:val="000000"/>
                <w:spacing w:val="3"/>
                <w:sz w:val="23"/>
                <w:szCs w:val="23"/>
              </w:rPr>
              <w:t xml:space="preserve"> 0,45 </w:t>
            </w:r>
            <w:r w:rsidRPr="00D42201">
              <w:rPr>
                <w:rFonts w:ascii="Times New Roman" w:eastAsia="Times New Roman" w:hAnsi="Times New Roman" w:cs="Times New Roman"/>
                <w:color w:val="000000"/>
                <w:spacing w:val="3"/>
                <w:sz w:val="23"/>
                <w:szCs w:val="23"/>
              </w:rPr>
              <w:t>мкм</w:t>
            </w:r>
            <w:r w:rsidRPr="003D4F6B">
              <w:rPr>
                <w:rFonts w:ascii="Times New Roman" w:eastAsia="Times New Roman" w:hAnsi="Times New Roman" w:cs="Times New Roman"/>
                <w:color w:val="000000"/>
                <w:spacing w:val="3"/>
                <w:sz w:val="23"/>
                <w:szCs w:val="23"/>
              </w:rPr>
              <w:t xml:space="preserve"> / 0,2 </w:t>
            </w:r>
            <w:r w:rsidRPr="00D42201">
              <w:rPr>
                <w:rFonts w:ascii="Times New Roman" w:eastAsia="Times New Roman" w:hAnsi="Times New Roman" w:cs="Times New Roman"/>
                <w:color w:val="000000"/>
                <w:spacing w:val="3"/>
                <w:sz w:val="23"/>
                <w:szCs w:val="23"/>
              </w:rPr>
              <w:t>мкм</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пайдалана</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отырып</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ағартады</w:t>
            </w:r>
            <w:r w:rsidRPr="003D4F6B">
              <w:rPr>
                <w:rFonts w:ascii="Times New Roman" w:eastAsia="Times New Roman" w:hAnsi="Times New Roman" w:cs="Times New Roman"/>
                <w:color w:val="000000"/>
                <w:spacing w:val="3"/>
                <w:sz w:val="23"/>
                <w:szCs w:val="23"/>
              </w:rPr>
              <w:t>.</w:t>
            </w:r>
          </w:p>
          <w:p w:rsidR="00F44E5C" w:rsidRPr="003D4F6B" w:rsidRDefault="00F44E5C" w:rsidP="00BE799C">
            <w:pPr>
              <w:widowControl w:val="0"/>
              <w:ind w:left="60" w:right="-16"/>
              <w:rPr>
                <w:rFonts w:ascii="Times New Roman" w:eastAsia="Times New Roman" w:hAnsi="Times New Roman" w:cs="Times New Roman"/>
                <w:color w:val="000000"/>
                <w:spacing w:val="3"/>
                <w:sz w:val="23"/>
                <w:szCs w:val="23"/>
              </w:rPr>
            </w:pP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 xml:space="preserve">6 </w:t>
            </w:r>
            <w:r w:rsidRPr="00D42201">
              <w:rPr>
                <w:rFonts w:ascii="Times New Roman" w:eastAsia="Times New Roman" w:hAnsi="Times New Roman" w:cs="Times New Roman"/>
                <w:color w:val="000000"/>
                <w:spacing w:val="3"/>
                <w:sz w:val="23"/>
                <w:szCs w:val="23"/>
              </w:rPr>
              <w:t>дәрілік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заттың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партиясы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w:t>
            </w:r>
            <w:r w:rsidRPr="003D4F6B">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б</w:t>
            </w:r>
            <w:r w:rsidRPr="00D42201">
              <w:rPr>
                <w:rFonts w:ascii="Times New Roman" w:eastAsia="Times New Roman" w:hAnsi="Times New Roman" w:cs="Times New Roman"/>
                <w:color w:val="000000"/>
                <w:spacing w:val="3"/>
                <w:sz w:val="23"/>
                <w:szCs w:val="23"/>
              </w:rPr>
              <w:t>анкінің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жұмыс</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құтысынан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алынады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Дәрілік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заттың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бір</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партиясы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өсіру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үшін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жиналған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сұйықтықты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кейінгі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өңдеу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үшін</w:t>
            </w:r>
            <w:r w:rsidRPr="003D4F6B">
              <w:rPr>
                <w:rFonts w:ascii="Times New Roman" w:eastAsia="Times New Roman" w:hAnsi="Times New Roman" w:cs="Times New Roman"/>
                <w:color w:val="000000"/>
                <w:spacing w:val="3"/>
                <w:sz w:val="23"/>
                <w:szCs w:val="23"/>
              </w:rPr>
              <w:t xml:space="preserve"> 2-8 ° </w:t>
            </w:r>
            <w:r w:rsidRPr="00F44E5C">
              <w:rPr>
                <w:rFonts w:ascii="Times New Roman" w:eastAsia="Times New Roman" w:hAnsi="Times New Roman" w:cs="Times New Roman"/>
                <w:color w:val="000000"/>
                <w:spacing w:val="3"/>
                <w:sz w:val="23"/>
                <w:szCs w:val="23"/>
                <w:lang w:val="en-US"/>
              </w:rPr>
              <w:t>C</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кезінде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сақтайды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жұмыс</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Банкі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Өндірістік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процесс</w:t>
            </w:r>
            <w:r w:rsidRPr="003D4F6B">
              <w:rPr>
                <w:rFonts w:ascii="Times New Roman" w:eastAsia="Times New Roman" w:hAnsi="Times New Roman" w:cs="Times New Roman"/>
                <w:color w:val="000000"/>
                <w:spacing w:val="3"/>
                <w:sz w:val="23"/>
                <w:szCs w:val="23"/>
              </w:rPr>
              <w:t xml:space="preserve"> </w:t>
            </w: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 xml:space="preserve">6 </w:t>
            </w:r>
            <w:r w:rsidRPr="00D42201">
              <w:rPr>
                <w:rFonts w:ascii="Times New Roman" w:eastAsia="Times New Roman" w:hAnsi="Times New Roman" w:cs="Times New Roman"/>
                <w:color w:val="000000"/>
                <w:spacing w:val="3"/>
                <w:sz w:val="23"/>
                <w:szCs w:val="23"/>
              </w:rPr>
              <w:t>тұқымдық</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биореакторының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кеңейту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кезеңі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өндірістік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биореактордың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көлемі</w:t>
            </w:r>
            <w:r w:rsidRPr="003D4F6B">
              <w:rPr>
                <w:rFonts w:ascii="Times New Roman" w:eastAsia="Times New Roman" w:hAnsi="Times New Roman" w:cs="Times New Roman"/>
                <w:color w:val="000000"/>
                <w:spacing w:val="3"/>
                <w:sz w:val="23"/>
                <w:szCs w:val="23"/>
              </w:rPr>
              <w:t xml:space="preserve"> 15 000 </w:t>
            </w:r>
            <w:r w:rsidRPr="00D42201">
              <w:rPr>
                <w:rFonts w:ascii="Times New Roman" w:eastAsia="Times New Roman" w:hAnsi="Times New Roman" w:cs="Times New Roman"/>
                <w:color w:val="000000"/>
                <w:spacing w:val="3"/>
                <w:sz w:val="23"/>
                <w:szCs w:val="23"/>
              </w:rPr>
              <w:t>л</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болатын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инокуляциясы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үшін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жеткілікті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мөлшерін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қамтамасыз</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ету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болып</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табылады</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Өміршең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жасушалардың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түпкілікті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көбеюі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және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өңделмеген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дәрілік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зат</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өндірісі</w:t>
            </w:r>
            <w:r w:rsidRPr="003D4F6B">
              <w:rPr>
                <w:rFonts w:ascii="Times New Roman" w:eastAsia="Times New Roman" w:hAnsi="Times New Roman" w:cs="Times New Roman"/>
                <w:color w:val="000000"/>
                <w:spacing w:val="3"/>
                <w:sz w:val="23"/>
                <w:szCs w:val="23"/>
              </w:rPr>
              <w:t xml:space="preserve"> </w:t>
            </w: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6.</w:t>
            </w:r>
            <w:r w:rsidRPr="00F44E5C">
              <w:rPr>
                <w:rFonts w:ascii="Times New Roman" w:eastAsia="Times New Roman" w:hAnsi="Times New Roman" w:cs="Times New Roman"/>
                <w:color w:val="000000"/>
                <w:spacing w:val="3"/>
                <w:sz w:val="23"/>
                <w:szCs w:val="23"/>
                <w:lang w:val="en-US"/>
              </w:rPr>
              <w:t>CT</w:t>
            </w:r>
            <w:r w:rsidRPr="003D4F6B">
              <w:rPr>
                <w:rFonts w:ascii="Times New Roman" w:eastAsia="Times New Roman" w:hAnsi="Times New Roman" w:cs="Times New Roman"/>
                <w:color w:val="000000"/>
                <w:spacing w:val="3"/>
                <w:sz w:val="23"/>
                <w:szCs w:val="23"/>
              </w:rPr>
              <w:t>-</w:t>
            </w:r>
            <w:r w:rsidRPr="00F44E5C">
              <w:rPr>
                <w:rFonts w:ascii="Times New Roman" w:eastAsia="Times New Roman" w:hAnsi="Times New Roman" w:cs="Times New Roman"/>
                <w:color w:val="000000"/>
                <w:spacing w:val="3"/>
                <w:sz w:val="23"/>
                <w:szCs w:val="23"/>
                <w:lang w:val="en-US"/>
              </w:rPr>
              <w:t>P</w:t>
            </w:r>
            <w:r w:rsidRPr="003D4F6B">
              <w:rPr>
                <w:rFonts w:ascii="Times New Roman" w:eastAsia="Times New Roman" w:hAnsi="Times New Roman" w:cs="Times New Roman"/>
                <w:color w:val="000000"/>
                <w:spacing w:val="3"/>
                <w:sz w:val="23"/>
                <w:szCs w:val="23"/>
              </w:rPr>
              <w:t xml:space="preserve">6 </w:t>
            </w:r>
            <w:r w:rsidRPr="00D42201">
              <w:rPr>
                <w:rFonts w:ascii="Times New Roman" w:eastAsia="Times New Roman" w:hAnsi="Times New Roman" w:cs="Times New Roman"/>
                <w:color w:val="000000"/>
                <w:spacing w:val="3"/>
                <w:sz w:val="23"/>
                <w:szCs w:val="23"/>
              </w:rPr>
              <w:t>дәрілік</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затын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тазалау</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хроматографияның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аффиндылықтың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катиондық</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алмасудың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және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хроматографияның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әртүрлі</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сатыларының</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көмегімен</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аралас</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режимде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жүзеге</w:t>
            </w:r>
            <w:r w:rsidRPr="003D4F6B">
              <w:rPr>
                <w:rFonts w:ascii="Times New Roman" w:eastAsia="Times New Roman" w:hAnsi="Times New Roman" w:cs="Times New Roman"/>
                <w:color w:val="000000"/>
                <w:spacing w:val="3"/>
                <w:sz w:val="23"/>
                <w:szCs w:val="23"/>
              </w:rPr>
              <w:t xml:space="preserve"> </w:t>
            </w:r>
            <w:r w:rsidRPr="00D42201">
              <w:rPr>
                <w:rFonts w:ascii="Times New Roman" w:eastAsia="Times New Roman" w:hAnsi="Times New Roman" w:cs="Times New Roman"/>
                <w:color w:val="000000"/>
                <w:spacing w:val="3"/>
                <w:sz w:val="23"/>
                <w:szCs w:val="23"/>
              </w:rPr>
              <w:t>асырылады</w:t>
            </w:r>
            <w:r w:rsidRPr="003D4F6B">
              <w:rPr>
                <w:rFonts w:ascii="Times New Roman" w:eastAsia="Times New Roman" w:hAnsi="Times New Roman" w:cs="Times New Roman"/>
                <w:color w:val="000000"/>
                <w:spacing w:val="3"/>
                <w:sz w:val="23"/>
                <w:szCs w:val="23"/>
              </w:rPr>
              <w:t>.</w:t>
            </w:r>
          </w:p>
          <w:p w:rsidR="00F44E5C" w:rsidRPr="003D4F6B" w:rsidRDefault="00F44E5C" w:rsidP="00BE799C">
            <w:pPr>
              <w:widowControl w:val="0"/>
              <w:ind w:left="60" w:right="-16"/>
              <w:rPr>
                <w:rFonts w:ascii="Times New Roman" w:eastAsia="Times New Roman" w:hAnsi="Times New Roman" w:cs="Times New Roman"/>
                <w:color w:val="000000"/>
                <w:spacing w:val="4"/>
                <w:sz w:val="23"/>
                <w:szCs w:val="23"/>
              </w:rPr>
            </w:pPr>
            <w:r w:rsidRPr="00F44E5C">
              <w:rPr>
                <w:rFonts w:ascii="Times New Roman" w:eastAsia="Times New Roman" w:hAnsi="Times New Roman" w:cs="Times New Roman"/>
                <w:color w:val="000000"/>
                <w:spacing w:val="4"/>
                <w:sz w:val="23"/>
                <w:szCs w:val="23"/>
                <w:lang w:val="en-US"/>
              </w:rPr>
              <w:t>CT</w:t>
            </w:r>
            <w:r w:rsidRPr="003D4F6B">
              <w:rPr>
                <w:rFonts w:ascii="Times New Roman" w:eastAsia="Times New Roman" w:hAnsi="Times New Roman" w:cs="Times New Roman"/>
                <w:color w:val="000000"/>
                <w:spacing w:val="4"/>
                <w:sz w:val="23"/>
                <w:szCs w:val="23"/>
              </w:rPr>
              <w:t>-</w:t>
            </w:r>
            <w:r w:rsidRPr="00F44E5C">
              <w:rPr>
                <w:rFonts w:ascii="Times New Roman" w:eastAsia="Times New Roman" w:hAnsi="Times New Roman" w:cs="Times New Roman"/>
                <w:color w:val="000000"/>
                <w:spacing w:val="4"/>
                <w:sz w:val="23"/>
                <w:szCs w:val="23"/>
                <w:lang w:val="en-US"/>
              </w:rPr>
              <w:t>P</w:t>
            </w:r>
            <w:r w:rsidRPr="003D4F6B">
              <w:rPr>
                <w:rFonts w:ascii="Times New Roman" w:eastAsia="Times New Roman" w:hAnsi="Times New Roman" w:cs="Times New Roman"/>
                <w:color w:val="000000"/>
                <w:spacing w:val="4"/>
                <w:sz w:val="23"/>
                <w:szCs w:val="23"/>
              </w:rPr>
              <w:t xml:space="preserve">6 </w:t>
            </w:r>
            <w:r w:rsidRPr="00D42201">
              <w:rPr>
                <w:rFonts w:ascii="Times New Roman" w:eastAsia="Times New Roman" w:hAnsi="Times New Roman" w:cs="Times New Roman"/>
                <w:color w:val="000000"/>
                <w:spacing w:val="4"/>
                <w:sz w:val="23"/>
                <w:szCs w:val="23"/>
              </w:rPr>
              <w:t>субстанциясы</w:t>
            </w:r>
            <w:r w:rsidRPr="003D4F6B">
              <w:rPr>
                <w:rFonts w:ascii="Times New Roman" w:eastAsia="Times New Roman" w:hAnsi="Times New Roman" w:cs="Times New Roman"/>
                <w:color w:val="000000"/>
                <w:spacing w:val="4"/>
                <w:sz w:val="23"/>
                <w:szCs w:val="23"/>
              </w:rPr>
              <w:t xml:space="preserve"> </w:t>
            </w:r>
            <w:r w:rsidRPr="00F44E5C">
              <w:rPr>
                <w:rFonts w:ascii="Times New Roman" w:eastAsia="Times New Roman" w:hAnsi="Times New Roman" w:cs="Times New Roman"/>
                <w:color w:val="000000"/>
                <w:spacing w:val="4"/>
                <w:sz w:val="23"/>
                <w:szCs w:val="23"/>
                <w:lang w:val="en-US"/>
              </w:rPr>
              <w:t>CT</w:t>
            </w:r>
            <w:r w:rsidRPr="003D4F6B">
              <w:rPr>
                <w:rFonts w:ascii="Times New Roman" w:eastAsia="Times New Roman" w:hAnsi="Times New Roman" w:cs="Times New Roman"/>
                <w:color w:val="000000"/>
                <w:spacing w:val="4"/>
                <w:sz w:val="23"/>
                <w:szCs w:val="23"/>
              </w:rPr>
              <w:t>-</w:t>
            </w:r>
            <w:r w:rsidRPr="00F44E5C">
              <w:rPr>
                <w:rFonts w:ascii="Times New Roman" w:eastAsia="Times New Roman" w:hAnsi="Times New Roman" w:cs="Times New Roman"/>
                <w:color w:val="000000"/>
                <w:spacing w:val="4"/>
                <w:sz w:val="23"/>
                <w:szCs w:val="23"/>
                <w:lang w:val="en-US"/>
              </w:rPr>
              <w:t>P</w:t>
            </w:r>
            <w:r w:rsidRPr="003D4F6B">
              <w:rPr>
                <w:rFonts w:ascii="Times New Roman" w:eastAsia="Times New Roman" w:hAnsi="Times New Roman" w:cs="Times New Roman"/>
                <w:color w:val="000000"/>
                <w:spacing w:val="4"/>
                <w:sz w:val="23"/>
                <w:szCs w:val="23"/>
              </w:rPr>
              <w:t xml:space="preserve">6 </w:t>
            </w:r>
            <w:r w:rsidRPr="00D42201">
              <w:rPr>
                <w:rFonts w:ascii="Times New Roman" w:eastAsia="Times New Roman" w:hAnsi="Times New Roman" w:cs="Times New Roman"/>
                <w:color w:val="000000"/>
                <w:spacing w:val="4"/>
                <w:sz w:val="23"/>
                <w:szCs w:val="23"/>
              </w:rPr>
              <w:t>дәрілік</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препаратын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өндіру</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үшін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пайдаланылуы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мүмкін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Аффинды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хроматография</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және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вирустық</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инактивация</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кезеңдерімен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төмен</w:t>
            </w:r>
            <w:r w:rsidRPr="003D4F6B">
              <w:rPr>
                <w:rFonts w:ascii="Times New Roman" w:eastAsia="Times New Roman" w:hAnsi="Times New Roman" w:cs="Times New Roman"/>
                <w:color w:val="000000"/>
                <w:spacing w:val="4"/>
                <w:sz w:val="23"/>
                <w:szCs w:val="23"/>
              </w:rPr>
              <w:t xml:space="preserve"> </w:t>
            </w:r>
            <w:r w:rsidRPr="00F44E5C">
              <w:rPr>
                <w:rFonts w:ascii="Times New Roman" w:eastAsia="Times New Roman" w:hAnsi="Times New Roman" w:cs="Times New Roman"/>
                <w:color w:val="000000"/>
                <w:spacing w:val="4"/>
                <w:sz w:val="23"/>
                <w:szCs w:val="23"/>
                <w:lang w:val="en-US"/>
              </w:rPr>
              <w:t>pH</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өңдеу</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көмегімен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қабықты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вирустарды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жинау</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және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инактивациялау</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үшін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ағартылған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материалдан</w:t>
            </w:r>
            <w:r w:rsidRPr="003D4F6B">
              <w:rPr>
                <w:rFonts w:ascii="Times New Roman" w:eastAsia="Times New Roman" w:hAnsi="Times New Roman" w:cs="Times New Roman"/>
                <w:color w:val="000000"/>
                <w:spacing w:val="4"/>
                <w:sz w:val="23"/>
                <w:szCs w:val="23"/>
              </w:rPr>
              <w:t xml:space="preserve"> </w:t>
            </w:r>
            <w:r w:rsidRPr="00F44E5C">
              <w:rPr>
                <w:rFonts w:ascii="Times New Roman" w:eastAsia="Times New Roman" w:hAnsi="Times New Roman" w:cs="Times New Roman"/>
                <w:color w:val="000000"/>
                <w:spacing w:val="4"/>
                <w:sz w:val="23"/>
                <w:szCs w:val="23"/>
                <w:lang w:val="en-US"/>
              </w:rPr>
              <w:t>CT</w:t>
            </w:r>
            <w:r w:rsidRPr="003D4F6B">
              <w:rPr>
                <w:rFonts w:ascii="Times New Roman" w:eastAsia="Times New Roman" w:hAnsi="Times New Roman" w:cs="Times New Roman"/>
                <w:color w:val="000000"/>
                <w:spacing w:val="4"/>
                <w:sz w:val="23"/>
                <w:szCs w:val="23"/>
              </w:rPr>
              <w:t>-</w:t>
            </w:r>
            <w:r w:rsidRPr="00F44E5C">
              <w:rPr>
                <w:rFonts w:ascii="Times New Roman" w:eastAsia="Times New Roman" w:hAnsi="Times New Roman" w:cs="Times New Roman"/>
                <w:color w:val="000000"/>
                <w:spacing w:val="4"/>
                <w:sz w:val="23"/>
                <w:szCs w:val="23"/>
                <w:lang w:val="en-US"/>
              </w:rPr>
              <w:t>P</w:t>
            </w:r>
            <w:r w:rsidRPr="003D4F6B">
              <w:rPr>
                <w:rFonts w:ascii="Times New Roman" w:eastAsia="Times New Roman" w:hAnsi="Times New Roman" w:cs="Times New Roman"/>
                <w:color w:val="000000"/>
                <w:spacing w:val="4"/>
                <w:sz w:val="23"/>
                <w:szCs w:val="23"/>
              </w:rPr>
              <w:t xml:space="preserve">6 </w:t>
            </w:r>
            <w:r w:rsidRPr="00D42201">
              <w:rPr>
                <w:rFonts w:ascii="Times New Roman" w:eastAsia="Times New Roman" w:hAnsi="Times New Roman" w:cs="Times New Roman"/>
                <w:color w:val="000000"/>
                <w:spacing w:val="4"/>
                <w:sz w:val="23"/>
                <w:szCs w:val="23"/>
              </w:rPr>
              <w:t>ұсталады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және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шоғырланады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Сонымен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қатар</w:t>
            </w:r>
            <w:r w:rsidRPr="003D4F6B">
              <w:rPr>
                <w:rFonts w:ascii="Times New Roman" w:eastAsia="Times New Roman" w:hAnsi="Times New Roman" w:cs="Times New Roman"/>
                <w:color w:val="000000"/>
                <w:spacing w:val="4"/>
                <w:sz w:val="23"/>
                <w:szCs w:val="23"/>
              </w:rPr>
              <w:t xml:space="preserve">, </w:t>
            </w:r>
            <w:r w:rsidRPr="00F44E5C">
              <w:rPr>
                <w:rFonts w:ascii="Times New Roman" w:eastAsia="Times New Roman" w:hAnsi="Times New Roman" w:cs="Times New Roman"/>
                <w:color w:val="000000"/>
                <w:spacing w:val="4"/>
                <w:sz w:val="23"/>
                <w:szCs w:val="23"/>
                <w:lang w:val="en-US"/>
              </w:rPr>
              <w:t>A</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ақуыз</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кезеңі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жасушаның</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ақуызы</w:t>
            </w:r>
            <w:r w:rsidRPr="003D4F6B">
              <w:rPr>
                <w:rFonts w:ascii="Times New Roman" w:eastAsia="Times New Roman" w:hAnsi="Times New Roman" w:cs="Times New Roman"/>
                <w:color w:val="000000"/>
                <w:spacing w:val="4"/>
                <w:sz w:val="23"/>
                <w:szCs w:val="23"/>
              </w:rPr>
              <w:t xml:space="preserve"> (</w:t>
            </w:r>
            <w:r w:rsidRPr="00F44E5C">
              <w:rPr>
                <w:rFonts w:ascii="Times New Roman" w:eastAsia="Times New Roman" w:hAnsi="Times New Roman" w:cs="Times New Roman"/>
                <w:color w:val="000000"/>
                <w:spacing w:val="4"/>
                <w:sz w:val="23"/>
                <w:szCs w:val="23"/>
                <w:lang w:val="en-US"/>
              </w:rPr>
              <w:t>HCP</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және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жасушаның</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ДНҚ</w:t>
            </w:r>
            <w:r w:rsidRPr="003D4F6B">
              <w:rPr>
                <w:rFonts w:ascii="Times New Roman" w:eastAsia="Times New Roman" w:hAnsi="Times New Roman" w:cs="Times New Roman"/>
                <w:color w:val="000000"/>
                <w:spacing w:val="4"/>
                <w:sz w:val="23"/>
                <w:szCs w:val="23"/>
              </w:rPr>
              <w:t>-</w:t>
            </w:r>
            <w:r w:rsidRPr="00D42201">
              <w:rPr>
                <w:rFonts w:ascii="Times New Roman" w:eastAsia="Times New Roman" w:hAnsi="Times New Roman" w:cs="Times New Roman"/>
                <w:color w:val="000000"/>
                <w:spacing w:val="4"/>
                <w:sz w:val="23"/>
                <w:szCs w:val="23"/>
              </w:rPr>
              <w:t>иесі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сияқты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үдеріспен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байланысты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қоспаларды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айтарлықтай</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жоюды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көрсетеді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Аралас</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режимде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Хроматография</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хроматографиялық</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тазартудың</w:t>
            </w:r>
            <w:r w:rsidRPr="003D4F6B">
              <w:rPr>
                <w:rFonts w:ascii="Times New Roman" w:eastAsia="Times New Roman" w:hAnsi="Times New Roman" w:cs="Times New Roman"/>
                <w:color w:val="000000"/>
                <w:spacing w:val="4"/>
                <w:sz w:val="23"/>
                <w:szCs w:val="23"/>
              </w:rPr>
              <w:t xml:space="preserve"> 3-</w:t>
            </w:r>
            <w:r w:rsidRPr="00D42201">
              <w:rPr>
                <w:rFonts w:ascii="Times New Roman" w:eastAsia="Times New Roman" w:hAnsi="Times New Roman" w:cs="Times New Roman"/>
                <w:color w:val="000000"/>
                <w:spacing w:val="4"/>
                <w:sz w:val="23"/>
                <w:szCs w:val="23"/>
              </w:rPr>
              <w:t>ші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сатысы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болып</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табылады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және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қалдық</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технологиялық</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қоспаларды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жою</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үшін</w:t>
            </w:r>
            <w:r w:rsidRPr="003D4F6B">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4"/>
                <w:sz w:val="23"/>
                <w:szCs w:val="23"/>
                <w:lang w:val="kk-KZ"/>
              </w:rPr>
              <w:t>ж</w:t>
            </w:r>
            <w:r w:rsidRPr="00D42201">
              <w:rPr>
                <w:rFonts w:ascii="Times New Roman" w:eastAsia="Times New Roman" w:hAnsi="Times New Roman" w:cs="Times New Roman"/>
                <w:color w:val="000000"/>
                <w:spacing w:val="4"/>
                <w:sz w:val="23"/>
                <w:szCs w:val="23"/>
              </w:rPr>
              <w:t>ылтырату</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сатысы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ретінде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пайдаланылады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яғни</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жасушалық</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дақылдардың</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супернатанттан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пайда</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болатын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және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өңдеудің</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кейінгі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кезеңдерінен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өтуі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мүмкін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зақымдалмаған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ретровирус</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тәрізді</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бөлшектер</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ретінде</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болуы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мүмкін</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вирустарды</w:t>
            </w:r>
            <w:r w:rsidRPr="003D4F6B">
              <w:rPr>
                <w:rFonts w:ascii="Times New Roman" w:eastAsia="Times New Roman" w:hAnsi="Times New Roman" w:cs="Times New Roman"/>
                <w:color w:val="000000"/>
                <w:spacing w:val="4"/>
                <w:sz w:val="23"/>
                <w:szCs w:val="23"/>
              </w:rPr>
              <w:t xml:space="preserve"> </w:t>
            </w:r>
            <w:r w:rsidRPr="00D42201">
              <w:rPr>
                <w:rFonts w:ascii="Times New Roman" w:eastAsia="Times New Roman" w:hAnsi="Times New Roman" w:cs="Times New Roman"/>
                <w:color w:val="000000"/>
                <w:spacing w:val="4"/>
                <w:sz w:val="23"/>
                <w:szCs w:val="23"/>
              </w:rPr>
              <w:t>жою</w:t>
            </w:r>
            <w:r w:rsidRPr="003D4F6B">
              <w:rPr>
                <w:rFonts w:ascii="Times New Roman" w:eastAsia="Times New Roman" w:hAnsi="Times New Roman" w:cs="Times New Roman"/>
                <w:color w:val="000000"/>
                <w:spacing w:val="4"/>
                <w:sz w:val="23"/>
                <w:szCs w:val="23"/>
              </w:rPr>
              <w:t>.</w:t>
            </w:r>
          </w:p>
          <w:p w:rsidR="00F44E5C" w:rsidRPr="003D4F6B" w:rsidRDefault="00F44E5C" w:rsidP="00BE799C">
            <w:r w:rsidRPr="00D42201">
              <w:rPr>
                <w:rFonts w:ascii="Times New Roman" w:eastAsia="Times New Roman" w:hAnsi="Times New Roman" w:cs="Times New Roman"/>
                <w:color w:val="000000"/>
                <w:spacing w:val="6"/>
                <w:sz w:val="23"/>
                <w:szCs w:val="23"/>
              </w:rPr>
              <w:t>Вирусты</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Сүзгіш</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пул</w:t>
            </w:r>
            <w:r w:rsidRPr="003D4F6B">
              <w:rPr>
                <w:rFonts w:ascii="Times New Roman" w:eastAsia="Times New Roman" w:hAnsi="Times New Roman" w:cs="Times New Roman"/>
                <w:color w:val="000000"/>
                <w:spacing w:val="6"/>
                <w:sz w:val="23"/>
                <w:szCs w:val="23"/>
              </w:rPr>
              <w:t xml:space="preserve"> 30 </w:t>
            </w:r>
            <w:r w:rsidRPr="00D42201">
              <w:rPr>
                <w:rFonts w:ascii="Times New Roman" w:eastAsia="Times New Roman" w:hAnsi="Times New Roman" w:cs="Times New Roman"/>
                <w:color w:val="000000"/>
                <w:spacing w:val="6"/>
                <w:sz w:val="23"/>
                <w:szCs w:val="23"/>
              </w:rPr>
              <w:t>кДа</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молекулярлық</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бөлгіш</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мембраналары</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бар</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тангенциалды</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lastRenderedPageBreak/>
              <w:t>ағынымен</w:t>
            </w:r>
            <w:r w:rsidRPr="003D4F6B">
              <w:rPr>
                <w:rFonts w:ascii="Times New Roman" w:eastAsia="Times New Roman" w:hAnsi="Times New Roman" w:cs="Times New Roman"/>
                <w:color w:val="000000"/>
                <w:spacing w:val="6"/>
                <w:sz w:val="23"/>
                <w:szCs w:val="23"/>
              </w:rPr>
              <w:t xml:space="preserve"> (</w:t>
            </w:r>
            <w:r w:rsidRPr="00F44E5C">
              <w:rPr>
                <w:rFonts w:ascii="Times New Roman" w:eastAsia="Times New Roman" w:hAnsi="Times New Roman" w:cs="Times New Roman"/>
                <w:color w:val="000000"/>
                <w:spacing w:val="6"/>
                <w:sz w:val="23"/>
                <w:szCs w:val="23"/>
                <w:lang w:val="en-US"/>
              </w:rPr>
              <w:t>TFF</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сүзу</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жүйесін</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пайдалана</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отырып</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шоғырланады</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және</w:t>
            </w:r>
            <w:r w:rsidRPr="003D4F6B">
              <w:rPr>
                <w:rFonts w:ascii="Times New Roman" w:eastAsia="Times New Roman" w:hAnsi="Times New Roman" w:cs="Times New Roman"/>
                <w:color w:val="000000"/>
                <w:spacing w:val="6"/>
                <w:sz w:val="23"/>
                <w:szCs w:val="23"/>
              </w:rPr>
              <w:t xml:space="preserve"> </w:t>
            </w:r>
            <w:r w:rsidRPr="00D42201">
              <w:rPr>
                <w:rFonts w:ascii="Times New Roman" w:eastAsia="Times New Roman" w:hAnsi="Times New Roman" w:cs="Times New Roman"/>
                <w:color w:val="000000"/>
                <w:spacing w:val="6"/>
                <w:sz w:val="23"/>
                <w:szCs w:val="23"/>
              </w:rPr>
              <w:t>диафильтрация</w:t>
            </w:r>
            <w:r>
              <w:rPr>
                <w:rFonts w:ascii="Times New Roman" w:eastAsia="Times New Roman" w:hAnsi="Times New Roman" w:cs="Times New Roman"/>
                <w:color w:val="000000"/>
                <w:spacing w:val="6"/>
                <w:sz w:val="23"/>
                <w:szCs w:val="23"/>
                <w:lang w:val="kk-KZ"/>
              </w:rPr>
              <w:t>ға ұшырайды</w:t>
            </w:r>
            <w:r w:rsidRPr="003D4F6B">
              <w:rPr>
                <w:rFonts w:ascii="Times New Roman" w:eastAsia="Times New Roman" w:hAnsi="Times New Roman" w:cs="Times New Roman"/>
                <w:color w:val="000000"/>
                <w:spacing w:val="6"/>
                <w:sz w:val="23"/>
                <w:szCs w:val="23"/>
              </w:rPr>
              <w:t>.</w:t>
            </w:r>
          </w:p>
        </w:tc>
      </w:tr>
      <w:tr w:rsidR="00F44E5C" w:rsidRPr="00F7450F" w:rsidTr="00BE799C">
        <w:tc>
          <w:tcPr>
            <w:tcW w:w="1413" w:type="dxa"/>
          </w:tcPr>
          <w:p w:rsidR="00F44E5C" w:rsidRPr="00F7450F" w:rsidRDefault="00F44E5C" w:rsidP="00BE799C">
            <w:r>
              <w:rPr>
                <w:rFonts w:ascii="Times New Roman" w:eastAsia="Times New Roman" w:hAnsi="Times New Roman" w:cs="Times New Roman"/>
                <w:color w:val="000000"/>
                <w:sz w:val="23"/>
                <w:szCs w:val="23"/>
              </w:rPr>
              <w:lastRenderedPageBreak/>
              <w:t>2.1.2</w:t>
            </w:r>
          </w:p>
        </w:tc>
        <w:tc>
          <w:tcPr>
            <w:tcW w:w="2551" w:type="dxa"/>
          </w:tcPr>
          <w:p w:rsidR="00F44E5C" w:rsidRPr="00F7450F" w:rsidRDefault="00F44E5C" w:rsidP="00BE799C">
            <w:r w:rsidRPr="000F441C">
              <w:rPr>
                <w:rFonts w:ascii="Times New Roman" w:eastAsia="Times New Roman" w:hAnsi="Times New Roman" w:cs="Times New Roman"/>
                <w:color w:val="000000"/>
                <w:spacing w:val="2"/>
                <w:sz w:val="23"/>
                <w:szCs w:val="23"/>
              </w:rPr>
              <w:t>Қосымша заттар: сапасы, саны туралы мәліметтерді пайдалану мүмкіндігі туралы қорытындылармен талдау</w:t>
            </w:r>
          </w:p>
        </w:tc>
        <w:tc>
          <w:tcPr>
            <w:tcW w:w="5381" w:type="dxa"/>
          </w:tcPr>
          <w:p w:rsidR="00F44E5C" w:rsidRPr="00F7450F" w:rsidRDefault="00F44E5C" w:rsidP="00BE799C">
            <w:r w:rsidRPr="006E05FD">
              <w:rPr>
                <w:rFonts w:ascii="Times New Roman" w:eastAsia="Times New Roman" w:hAnsi="Times New Roman" w:cs="Times New Roman"/>
                <w:color w:val="000000"/>
                <w:spacing w:val="2"/>
                <w:sz w:val="23"/>
                <w:szCs w:val="23"/>
              </w:rPr>
              <w:t>Фармакопеялық талаптарға сәйкес CT-P6 дәрілік заттарды дайындау кезінде пайдаланылатын биологиялық текті шикізат (D (</w:t>
            </w:r>
            <w:proofErr w:type="gramStart"/>
            <w:r w:rsidRPr="006E05FD">
              <w:rPr>
                <w:rFonts w:ascii="Times New Roman" w:eastAsia="Times New Roman" w:hAnsi="Times New Roman" w:cs="Times New Roman"/>
                <w:color w:val="000000"/>
                <w:spacing w:val="2"/>
                <w:sz w:val="23"/>
                <w:szCs w:val="23"/>
              </w:rPr>
              <w:t>+)-</w:t>
            </w:r>
            <w:proofErr w:type="gramEnd"/>
            <w:r w:rsidRPr="006E05FD">
              <w:rPr>
                <w:rFonts w:ascii="Times New Roman" w:eastAsia="Times New Roman" w:hAnsi="Times New Roman" w:cs="Times New Roman"/>
                <w:color w:val="000000"/>
                <w:spacing w:val="2"/>
                <w:sz w:val="23"/>
                <w:szCs w:val="23"/>
              </w:rPr>
              <w:t xml:space="preserve"> галактоза, D (+)-глюкоза, L – глютамин, полисорбат 20, лимон қышқылы, L –гистидин, L-гистидин моногидрохлорид моногидраты, дигидрат тринатриясы, α-тригидраты). Барлық қосалқы заттардың фармацевтикалық тазалығы бар. L-гистидин, L-гистидин моногидрохлорид моногидраты, α, α-трегалоза дигидраты және полисорбат 20 эндотоксиннің болуына тестіленеді, бұл туралы жеткізушілерді талдау сертификаттары куәландырады. CELLTRION сондай-ақ өз ішкі эндотоксин сапасын бақылау сынағын жүргізеді.</w:t>
            </w:r>
            <w:r>
              <w:rPr>
                <w:rFonts w:ascii="Times New Roman" w:eastAsia="Times New Roman" w:hAnsi="Times New Roman" w:cs="Times New Roman"/>
                <w:color w:val="000000"/>
                <w:spacing w:val="2"/>
                <w:sz w:val="23"/>
                <w:szCs w:val="23"/>
                <w:lang w:val="kk-KZ"/>
              </w:rPr>
              <w:t xml:space="preserve"> </w:t>
            </w:r>
            <w:r w:rsidRPr="006E05FD">
              <w:rPr>
                <w:rFonts w:ascii="Times New Roman" w:eastAsia="Times New Roman" w:hAnsi="Times New Roman" w:cs="Times New Roman"/>
                <w:color w:val="000000"/>
                <w:spacing w:val="4"/>
                <w:sz w:val="23"/>
                <w:szCs w:val="23"/>
              </w:rPr>
              <w:t>Компендиальді емес эксципиенттерге, биологиялық емес ортаның және реагенттерге спецификациялар берілген. Фармакопеялық САПАНЫҢ өндірістік процесінде қолданылатын биологиялық емес реагенттер және ортаның компендиалдық компоненттері.</w:t>
            </w:r>
          </w:p>
        </w:tc>
      </w:tr>
      <w:tr w:rsidR="00F44E5C" w:rsidRPr="00F7450F" w:rsidTr="00BE799C">
        <w:tc>
          <w:tcPr>
            <w:tcW w:w="1413" w:type="dxa"/>
          </w:tcPr>
          <w:p w:rsidR="00F44E5C" w:rsidRDefault="00F44E5C" w:rsidP="00BE799C">
            <w:pPr>
              <w:rPr>
                <w:rFonts w:ascii="Times New Roman" w:eastAsia="Times New Roman" w:hAnsi="Times New Roman" w:cs="Times New Roman"/>
                <w:color w:val="000000"/>
                <w:sz w:val="23"/>
                <w:szCs w:val="23"/>
              </w:rPr>
            </w:pPr>
          </w:p>
        </w:tc>
        <w:tc>
          <w:tcPr>
            <w:tcW w:w="2551" w:type="dxa"/>
          </w:tcPr>
          <w:p w:rsidR="00F44E5C" w:rsidRPr="000F441C" w:rsidRDefault="00F44E5C" w:rsidP="00BE799C">
            <w:pPr>
              <w:rPr>
                <w:rFonts w:ascii="Times New Roman" w:eastAsia="Times New Roman" w:hAnsi="Times New Roman" w:cs="Times New Roman"/>
                <w:color w:val="000000"/>
                <w:spacing w:val="2"/>
                <w:sz w:val="23"/>
                <w:szCs w:val="23"/>
              </w:rPr>
            </w:pPr>
          </w:p>
        </w:tc>
        <w:tc>
          <w:tcPr>
            <w:tcW w:w="5381" w:type="dxa"/>
          </w:tcPr>
          <w:p w:rsidR="00F44E5C" w:rsidRPr="006E05FD" w:rsidRDefault="00F44E5C" w:rsidP="00BE799C">
            <w:pPr>
              <w:rPr>
                <w:rFonts w:ascii="Times New Roman" w:eastAsia="Times New Roman" w:hAnsi="Times New Roman" w:cs="Times New Roman"/>
                <w:color w:val="000000"/>
                <w:spacing w:val="2"/>
                <w:sz w:val="23"/>
                <w:szCs w:val="23"/>
              </w:rPr>
            </w:pPr>
          </w:p>
        </w:tc>
      </w:tr>
      <w:tr w:rsidR="00F44E5C" w:rsidRPr="00F7450F" w:rsidTr="00BE799C">
        <w:tc>
          <w:tcPr>
            <w:tcW w:w="1413" w:type="dxa"/>
          </w:tcPr>
          <w:p w:rsidR="00F44E5C" w:rsidRPr="00F7450F" w:rsidRDefault="00F44E5C" w:rsidP="00BE799C">
            <w:r>
              <w:rPr>
                <w:rFonts w:ascii="Times New Roman" w:eastAsia="Times New Roman" w:hAnsi="Times New Roman" w:cs="Times New Roman"/>
                <w:color w:val="000000"/>
                <w:sz w:val="23"/>
                <w:szCs w:val="23"/>
              </w:rPr>
              <w:t>2.1.3</w:t>
            </w:r>
          </w:p>
        </w:tc>
        <w:tc>
          <w:tcPr>
            <w:tcW w:w="2551" w:type="dxa"/>
          </w:tcPr>
          <w:p w:rsidR="00F44E5C" w:rsidRPr="00F7450F" w:rsidRDefault="00F44E5C" w:rsidP="00BE799C">
            <w:proofErr w:type="gramStart"/>
            <w:r>
              <w:rPr>
                <w:rFonts w:ascii="Times New Roman" w:eastAsia="Times New Roman" w:hAnsi="Times New Roman" w:cs="Times New Roman"/>
                <w:color w:val="000000"/>
                <w:spacing w:val="3"/>
                <w:sz w:val="23"/>
                <w:szCs w:val="23"/>
              </w:rPr>
              <w:t xml:space="preserve">Дәрілік  </w:t>
            </w:r>
            <w:r>
              <w:rPr>
                <w:rFonts w:ascii="Times New Roman" w:eastAsia="Times New Roman" w:hAnsi="Times New Roman" w:cs="Times New Roman"/>
                <w:color w:val="000000"/>
                <w:spacing w:val="2"/>
                <w:sz w:val="23"/>
                <w:szCs w:val="23"/>
              </w:rPr>
              <w:t>препа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z w:val="23"/>
                <w:szCs w:val="23"/>
              </w:rPr>
              <w:t>т</w:t>
            </w:r>
            <w:proofErr w:type="gramEnd"/>
            <w:r w:rsidRPr="00F7450F">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lang w:val="kk-KZ"/>
              </w:rPr>
              <w:t>Өндірісі туралы қорытынды</w:t>
            </w:r>
          </w:p>
        </w:tc>
        <w:tc>
          <w:tcPr>
            <w:tcW w:w="5381" w:type="dxa"/>
          </w:tcPr>
          <w:p w:rsidR="00F44E5C" w:rsidRDefault="00F44E5C" w:rsidP="00BE799C">
            <w:pPr>
              <w:widowControl w:val="0"/>
              <w:ind w:left="60" w:right="-18"/>
              <w:rPr>
                <w:rFonts w:ascii="Times New Roman" w:eastAsia="Times New Roman" w:hAnsi="Times New Roman" w:cs="Times New Roman"/>
                <w:color w:val="000000"/>
                <w:spacing w:val="2"/>
                <w:sz w:val="23"/>
                <w:szCs w:val="23"/>
              </w:rPr>
            </w:pPr>
            <w:r w:rsidRPr="00AB0DE8">
              <w:rPr>
                <w:rFonts w:ascii="Times New Roman" w:eastAsia="Times New Roman" w:hAnsi="Times New Roman" w:cs="Times New Roman"/>
                <w:color w:val="000000"/>
                <w:spacing w:val="2"/>
                <w:sz w:val="23"/>
                <w:szCs w:val="23"/>
              </w:rPr>
              <w:t>Мұздатылған дәрілік зат құтыдағы 26,5–28,5 ° С кезінде 52-57 мин (шөлмек көлемі 1 л); 112-117 мин (шөлмек 20 л) ерітетін машинада ерітіледі. Ерігеннен кейін субстанцияны СLT 2-де дәрілік препаратты өндірісте пайдалану үшін 24 сағаттан кем емес суық бөлмеде (5 ± 3 ° С) ұстайды.ЕО мақұлдаған Герцептинмен® және лицензияланған АҚШ Герцептинмен ® Талдамалық ұқсастығы трегалозаның концентрациясындағы болмашы айырмашылықтарға қарамастан СТ-Р6 үшін көрсетілді.Соңғы көлем шамамен 138,43 - 144,09 кг немесе 153,32 - 159,58 кг диапазонындағы салмаққа дейін дайындалады, бұл 22 000 сауыт немесе 24 380 сауыт партияға сәйкес. CT-P6 дәрілік препаратын өндіру процесі дәрілік заттың рецептурасынан, 1-ші сүзілуден, асептикалық құюдан (2-ші стерильді сүзілуден), лиофилизациядан, тығыннан және көзбен шолып тексеруден тұрады. 1 CT-P6 соңғы массасы бірінші сүзудің соңынан процесті толтыру басталғанға дейін 72 сағатқа дейін толтырғыш резервуарда сақталуы мүмкін.</w:t>
            </w:r>
          </w:p>
          <w:p w:rsidR="00F44E5C" w:rsidRDefault="00F44E5C" w:rsidP="00BE799C">
            <w:pPr>
              <w:widowControl w:val="0"/>
              <w:ind w:left="60" w:right="-18"/>
              <w:rPr>
                <w:rFonts w:ascii="Times New Roman" w:eastAsia="Times New Roman" w:hAnsi="Times New Roman" w:cs="Times New Roman"/>
                <w:color w:val="000000"/>
                <w:sz w:val="23"/>
                <w:szCs w:val="23"/>
              </w:rPr>
            </w:pPr>
            <w:r w:rsidRPr="00AB0DE8">
              <w:rPr>
                <w:rFonts w:ascii="Times New Roman" w:eastAsia="Times New Roman" w:hAnsi="Times New Roman" w:cs="Times New Roman"/>
                <w:color w:val="000000"/>
                <w:spacing w:val="3"/>
                <w:sz w:val="23"/>
                <w:szCs w:val="23"/>
              </w:rPr>
              <w:t xml:space="preserve">14a4c001 - 14A4C003 валидациялық сериялары валидация нәтижелері барлық параметрлер олардың қолайлылық </w:t>
            </w:r>
            <w:r>
              <w:rPr>
                <w:rFonts w:ascii="Times New Roman" w:eastAsia="Times New Roman" w:hAnsi="Times New Roman" w:cs="Times New Roman"/>
                <w:color w:val="000000"/>
                <w:spacing w:val="3"/>
                <w:sz w:val="23"/>
                <w:szCs w:val="23"/>
                <w:lang w:val="kk-KZ"/>
              </w:rPr>
              <w:t>өлшемшарттарының</w:t>
            </w:r>
            <w:r w:rsidRPr="00AB0DE8">
              <w:rPr>
                <w:rFonts w:ascii="Times New Roman" w:eastAsia="Times New Roman" w:hAnsi="Times New Roman" w:cs="Times New Roman"/>
                <w:color w:val="000000"/>
                <w:spacing w:val="3"/>
                <w:sz w:val="23"/>
                <w:szCs w:val="23"/>
              </w:rPr>
              <w:t xml:space="preserve"> шегінде қалғанын растайды, сt-P6 сүзілмеген көлемді ерітіндісі қоршаған орта температурасында 72 сағатқа дейін сақталуы мүмкін және сt-P6 стерильді сүзілген соңғы массасы бөлме температурасында 96 сағатқа дейін сақталуы мүмкін екендігін көрсетеді. </w:t>
            </w:r>
            <w:r>
              <w:rPr>
                <w:rFonts w:ascii="Times New Roman" w:eastAsia="Times New Roman" w:hAnsi="Times New Roman" w:cs="Times New Roman"/>
                <w:color w:val="000000"/>
                <w:spacing w:val="3"/>
                <w:sz w:val="23"/>
                <w:szCs w:val="23"/>
                <w:lang w:val="kk-KZ"/>
              </w:rPr>
              <w:t>С</w:t>
            </w:r>
            <w:r w:rsidRPr="00AB0DE8">
              <w:rPr>
                <w:rFonts w:ascii="Times New Roman" w:eastAsia="Times New Roman" w:hAnsi="Times New Roman" w:cs="Times New Roman"/>
                <w:color w:val="000000"/>
                <w:spacing w:val="3"/>
                <w:sz w:val="23"/>
                <w:szCs w:val="23"/>
              </w:rPr>
              <w:t xml:space="preserve">оңғы көлемді салмағы, араластыру уақыты мен жылдамдығы, стерильді сүзу және pH алдындағы ақуыздың соңғы концентрациясы, стерильді </w:t>
            </w:r>
            <w:r w:rsidRPr="00AB0DE8">
              <w:rPr>
                <w:rFonts w:ascii="Times New Roman" w:eastAsia="Times New Roman" w:hAnsi="Times New Roman" w:cs="Times New Roman"/>
                <w:color w:val="000000"/>
                <w:spacing w:val="3"/>
                <w:sz w:val="23"/>
                <w:szCs w:val="23"/>
              </w:rPr>
              <w:lastRenderedPageBreak/>
              <w:t xml:space="preserve">сүзуге дейін эндотоксин және бионагрузка. Тасымалдаушыны толтыру EU-GMP 1-қосымшасында келтірілген ұсынымдарды және FDA нұсқаулығын </w:t>
            </w:r>
            <w:r>
              <w:rPr>
                <w:rFonts w:ascii="Times New Roman" w:eastAsia="Times New Roman" w:hAnsi="Times New Roman" w:cs="Times New Roman"/>
                <w:color w:val="000000"/>
                <w:spacing w:val="3"/>
                <w:sz w:val="23"/>
                <w:szCs w:val="23"/>
                <w:lang w:val="kk-KZ"/>
              </w:rPr>
              <w:t>«</w:t>
            </w:r>
            <w:r w:rsidRPr="00AB0DE8">
              <w:rPr>
                <w:rFonts w:ascii="Times New Roman" w:eastAsia="Times New Roman" w:hAnsi="Times New Roman" w:cs="Times New Roman"/>
                <w:color w:val="000000"/>
                <w:spacing w:val="3"/>
                <w:sz w:val="23"/>
                <w:szCs w:val="23"/>
              </w:rPr>
              <w:t>асептикалық өңдеу көмегімен өндірілген стерильді дәрілік препараттар-ағымдағы тиісті өндірістік тәжірибе</w:t>
            </w:r>
            <w:r>
              <w:rPr>
                <w:rFonts w:ascii="Times New Roman" w:eastAsia="Times New Roman" w:hAnsi="Times New Roman" w:cs="Times New Roman"/>
                <w:color w:val="000000"/>
                <w:spacing w:val="3"/>
                <w:sz w:val="23"/>
                <w:szCs w:val="23"/>
                <w:lang w:val="kk-KZ"/>
              </w:rPr>
              <w:t>»</w:t>
            </w:r>
            <w:r w:rsidRPr="00AB0DE8">
              <w:rPr>
                <w:rFonts w:ascii="Times New Roman" w:eastAsia="Times New Roman" w:hAnsi="Times New Roman" w:cs="Times New Roman"/>
                <w:color w:val="000000"/>
                <w:spacing w:val="3"/>
                <w:sz w:val="23"/>
                <w:szCs w:val="23"/>
              </w:rPr>
              <w:t xml:space="preserve"> ескере отырып, адамдарға және ветеринариялық ЕП препараттарына арналған қосымшаларда стерильдеу процесін валидациялау үшін құжаттама беру үшін орындалды.</w:t>
            </w:r>
          </w:p>
          <w:p w:rsidR="00F44E5C" w:rsidRPr="00F7450F" w:rsidRDefault="00F44E5C" w:rsidP="00BE799C">
            <w:r w:rsidRPr="00B00B4D">
              <w:rPr>
                <w:rFonts w:ascii="Times New Roman" w:eastAsia="Times New Roman" w:hAnsi="Times New Roman" w:cs="Times New Roman"/>
                <w:color w:val="000000"/>
                <w:spacing w:val="3"/>
                <w:sz w:val="23"/>
                <w:szCs w:val="23"/>
              </w:rPr>
              <w:t>Бұл өзгерістер өндіріс ауқымын ұлғайтуды және бақылау процесіндегі өзгерістерді қамтиды. Сонымен қатар, өндіріс кезінде стерильділікті қамтамасыз ету үшін екі стерильдік сүзгі және онымен байланысты процесс бақылау құралдары мен сүзуді басқарудың сыни элементтері орнына өзгеріс енгізілді, бұл өнімнің сапасын қамтамасыз етеді. Салыстыруға арналған сынақ нәтижелері осы екі процесте дайындалған CT-P6 дәрілік заттың сынауға арналған сериялық бұйымдарға арналған ерекшеліктер диапазоны шегінде жақсы бақыланатынын көрсетті. Бұдан басқа, физика-химиялық қасиеттері үшін бастапқы құрылымға, неғұрлым жоғары ретті құрылымға және гликозилдеуге қатысты елеулі айырмашылықтар байқалмады. Валидацияның барлық параметрлері қолайлылық критерийлеріне сәйкес келеді және CT-P6 еріткішін дайындау процесі дәйекті болып табылатынын көрсетеді. Барлық партиялар 5 ± 3 ° C және 30 ± 2 ° C / 75 ± 5 %</w:t>
            </w:r>
            <w:r>
              <w:rPr>
                <w:rFonts w:ascii="Times New Roman" w:eastAsia="Times New Roman" w:hAnsi="Times New Roman" w:cs="Times New Roman"/>
                <w:color w:val="000000"/>
                <w:spacing w:val="3"/>
                <w:sz w:val="23"/>
                <w:szCs w:val="23"/>
                <w:lang w:val="kk-KZ"/>
              </w:rPr>
              <w:t xml:space="preserve"> </w:t>
            </w:r>
            <w:r w:rsidRPr="00B00B4D">
              <w:rPr>
                <w:rFonts w:ascii="Times New Roman" w:eastAsia="Times New Roman" w:hAnsi="Times New Roman" w:cs="Times New Roman"/>
                <w:color w:val="000000"/>
                <w:spacing w:val="3"/>
                <w:sz w:val="23"/>
                <w:szCs w:val="23"/>
              </w:rPr>
              <w:t xml:space="preserve">салыстырмалы ылғалдылығы кезінде сақтаудан кейінгі ұзақ мерзімді тұрақтылықты зерттеудегі қолайлы </w:t>
            </w:r>
            <w:r>
              <w:rPr>
                <w:rFonts w:ascii="Times New Roman" w:eastAsia="Times New Roman" w:hAnsi="Times New Roman" w:cs="Times New Roman"/>
                <w:color w:val="000000"/>
                <w:spacing w:val="3"/>
                <w:sz w:val="23"/>
                <w:szCs w:val="23"/>
                <w:lang w:val="kk-KZ"/>
              </w:rPr>
              <w:t>өлшемшарттарға</w:t>
            </w:r>
            <w:r w:rsidRPr="00B00B4D">
              <w:rPr>
                <w:rFonts w:ascii="Times New Roman" w:eastAsia="Times New Roman" w:hAnsi="Times New Roman" w:cs="Times New Roman"/>
                <w:color w:val="000000"/>
                <w:spacing w:val="3"/>
                <w:sz w:val="23"/>
                <w:szCs w:val="23"/>
              </w:rPr>
              <w:t xml:space="preserve"> сәйкес келді</w:t>
            </w:r>
            <w:r>
              <w:rPr>
                <w:rFonts w:ascii="Times New Roman" w:eastAsia="Times New Roman" w:hAnsi="Times New Roman" w:cs="Times New Roman"/>
                <w:color w:val="000000"/>
                <w:spacing w:val="3"/>
                <w:sz w:val="23"/>
                <w:szCs w:val="23"/>
                <w:lang w:val="kk-KZ"/>
              </w:rPr>
              <w:t>.</w:t>
            </w:r>
          </w:p>
        </w:tc>
      </w:tr>
      <w:tr w:rsidR="00F44E5C" w:rsidRPr="00F7450F" w:rsidTr="00BE799C">
        <w:tc>
          <w:tcPr>
            <w:tcW w:w="1413" w:type="dxa"/>
          </w:tcPr>
          <w:p w:rsidR="00F44E5C" w:rsidRPr="00BF0E13" w:rsidRDefault="00BF0E13" w:rsidP="00BE799C">
            <w:pPr>
              <w:rPr>
                <w:lang w:val="kk-KZ"/>
              </w:rPr>
            </w:pPr>
            <w:r>
              <w:rPr>
                <w:lang w:val="kk-KZ"/>
              </w:rPr>
              <w:lastRenderedPageBreak/>
              <w:t>2.1.4</w:t>
            </w:r>
          </w:p>
        </w:tc>
        <w:tc>
          <w:tcPr>
            <w:tcW w:w="2551" w:type="dxa"/>
          </w:tcPr>
          <w:p w:rsidR="00F44E5C" w:rsidRPr="00F7450F" w:rsidRDefault="00F44E5C" w:rsidP="00BE799C">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4"/>
                <w:sz w:val="23"/>
                <w:szCs w:val="23"/>
                <w:lang w:val="kk-KZ"/>
              </w:rPr>
              <w:t>апаның өзіндік ерекшелігі</w:t>
            </w:r>
          </w:p>
        </w:tc>
        <w:tc>
          <w:tcPr>
            <w:tcW w:w="5381" w:type="dxa"/>
          </w:tcPr>
          <w:p w:rsidR="00F44E5C" w:rsidRPr="00F7450F" w:rsidRDefault="00F44E5C" w:rsidP="00BE799C">
            <w:r w:rsidRPr="00EC21D2">
              <w:rPr>
                <w:rFonts w:ascii="Times New Roman" w:eastAsia="Times New Roman" w:hAnsi="Times New Roman" w:cs="Times New Roman"/>
                <w:color w:val="000000"/>
                <w:spacing w:val="3"/>
                <w:sz w:val="23"/>
                <w:szCs w:val="23"/>
              </w:rPr>
              <w:t>Шығару кезінде дәрілік заттың CT-P6</w:t>
            </w:r>
            <w:r>
              <w:rPr>
                <w:rFonts w:ascii="Times New Roman" w:eastAsia="Times New Roman" w:hAnsi="Times New Roman" w:cs="Times New Roman"/>
                <w:color w:val="000000"/>
                <w:spacing w:val="3"/>
                <w:sz w:val="23"/>
                <w:szCs w:val="23"/>
                <w:lang w:val="kk-KZ"/>
              </w:rPr>
              <w:t xml:space="preserve"> </w:t>
            </w:r>
            <w:proofErr w:type="gramStart"/>
            <w:r>
              <w:rPr>
                <w:rFonts w:ascii="Times New Roman" w:eastAsia="Times New Roman" w:hAnsi="Times New Roman" w:cs="Times New Roman"/>
                <w:color w:val="000000"/>
                <w:spacing w:val="3"/>
                <w:sz w:val="23"/>
                <w:szCs w:val="23"/>
                <w:lang w:val="kk-KZ"/>
              </w:rPr>
              <w:t xml:space="preserve">өзіндік </w:t>
            </w:r>
            <w:r w:rsidRPr="00EC21D2">
              <w:rPr>
                <w:rFonts w:ascii="Times New Roman" w:eastAsia="Times New Roman" w:hAnsi="Times New Roman" w:cs="Times New Roman"/>
                <w:color w:val="000000"/>
                <w:spacing w:val="3"/>
                <w:sz w:val="23"/>
                <w:szCs w:val="23"/>
              </w:rPr>
              <w:t xml:space="preserve"> ерекшелігі</w:t>
            </w:r>
            <w:proofErr w:type="gramEnd"/>
            <w:r w:rsidRPr="00EC21D2">
              <w:rPr>
                <w:rFonts w:ascii="Times New Roman" w:eastAsia="Times New Roman" w:hAnsi="Times New Roman" w:cs="Times New Roman"/>
                <w:color w:val="000000"/>
                <w:spacing w:val="3"/>
                <w:sz w:val="23"/>
                <w:szCs w:val="23"/>
              </w:rPr>
              <w:t xml:space="preserve">. Жарамдылық мерзімінің </w:t>
            </w:r>
            <w:proofErr w:type="gramStart"/>
            <w:r>
              <w:rPr>
                <w:rFonts w:ascii="Times New Roman" w:eastAsia="Times New Roman" w:hAnsi="Times New Roman" w:cs="Times New Roman"/>
                <w:color w:val="000000"/>
                <w:spacing w:val="3"/>
                <w:sz w:val="23"/>
                <w:szCs w:val="23"/>
                <w:lang w:val="kk-KZ"/>
              </w:rPr>
              <w:t xml:space="preserve">өзіндік </w:t>
            </w:r>
            <w:r w:rsidRPr="00EC21D2">
              <w:rPr>
                <w:rFonts w:ascii="Times New Roman" w:eastAsia="Times New Roman" w:hAnsi="Times New Roman" w:cs="Times New Roman"/>
                <w:color w:val="000000"/>
                <w:spacing w:val="3"/>
                <w:sz w:val="23"/>
                <w:szCs w:val="23"/>
              </w:rPr>
              <w:t xml:space="preserve"> ерекшелігі</w:t>
            </w:r>
            <w:r>
              <w:rPr>
                <w:rFonts w:ascii="Times New Roman" w:eastAsia="Times New Roman" w:hAnsi="Times New Roman" w:cs="Times New Roman"/>
                <w:color w:val="000000"/>
                <w:spacing w:val="3"/>
                <w:sz w:val="23"/>
                <w:szCs w:val="23"/>
                <w:lang w:val="kk-KZ"/>
              </w:rPr>
              <w:t>н</w:t>
            </w:r>
            <w:proofErr w:type="gramEnd"/>
            <w:r w:rsidRPr="00EC21D2">
              <w:rPr>
                <w:rFonts w:ascii="Times New Roman" w:eastAsia="Times New Roman" w:hAnsi="Times New Roman" w:cs="Times New Roman"/>
                <w:color w:val="000000"/>
                <w:spacing w:val="3"/>
                <w:sz w:val="23"/>
                <w:szCs w:val="23"/>
              </w:rPr>
              <w:t xml:space="preserve"> шығару </w:t>
            </w:r>
            <w:r>
              <w:rPr>
                <w:rFonts w:ascii="Times New Roman" w:eastAsia="Times New Roman" w:hAnsi="Times New Roman" w:cs="Times New Roman"/>
                <w:color w:val="000000"/>
                <w:spacing w:val="3"/>
                <w:sz w:val="23"/>
                <w:szCs w:val="23"/>
                <w:lang w:val="kk-KZ"/>
              </w:rPr>
              <w:t xml:space="preserve">өзіндік </w:t>
            </w:r>
            <w:r w:rsidRPr="00EC21D2">
              <w:rPr>
                <w:rFonts w:ascii="Times New Roman" w:eastAsia="Times New Roman" w:hAnsi="Times New Roman" w:cs="Times New Roman"/>
                <w:color w:val="000000"/>
                <w:spacing w:val="3"/>
                <w:sz w:val="23"/>
                <w:szCs w:val="23"/>
              </w:rPr>
              <w:t xml:space="preserve"> ерекшелігі бойынша ион алмасу вэжх (IEC-hplc) арқылы идентификациялауды қоспағанда, шығарылым спецификациясына ұқсас. Спецификация ich q6b және еуропалық фармакопея мен АҚШ фармакопеясының тиісті монографияларына сәйкес әзірленді. Қолайлылық критерийлері әзірлеу барысында өндірілген 7 CT CT-P6 негізінде белгіленді және дәрілік препаратқа және субстанцияларға тазалық пен қоспалар бойынша іс жүзінде талаптар бірдей екенін көрсетеді. Осыған байланысты, ерекшелікті анықтау үшін пайдаланылатын партиялар процестер валидациясы мен тұрақтылықты зерттеу үшін пайдаланылатын барлық партияларды қамтиды. Барлық партиялар сондай-ақ 5 ± 3 ° C сақтағаннан кейін дәрілік препараттың ұзақ мерзімді тұрақтылығын зерттеуде жоғарыда көрсетілген қолайлылық </w:t>
            </w:r>
            <w:r>
              <w:rPr>
                <w:rFonts w:ascii="Times New Roman" w:eastAsia="Times New Roman" w:hAnsi="Times New Roman" w:cs="Times New Roman"/>
                <w:color w:val="000000"/>
                <w:spacing w:val="3"/>
                <w:sz w:val="23"/>
                <w:szCs w:val="23"/>
                <w:lang w:val="kk-KZ"/>
              </w:rPr>
              <w:t>өлшемшартына</w:t>
            </w:r>
            <w:r w:rsidRPr="00EC21D2">
              <w:rPr>
                <w:rFonts w:ascii="Times New Roman" w:eastAsia="Times New Roman" w:hAnsi="Times New Roman" w:cs="Times New Roman"/>
                <w:color w:val="000000"/>
                <w:spacing w:val="3"/>
                <w:sz w:val="23"/>
                <w:szCs w:val="23"/>
              </w:rPr>
              <w:t xml:space="preserve"> сәйкес келді</w:t>
            </w:r>
          </w:p>
        </w:tc>
      </w:tr>
      <w:tr w:rsidR="00F44E5C" w:rsidRPr="00F7450F" w:rsidTr="00BE799C">
        <w:tc>
          <w:tcPr>
            <w:tcW w:w="1413" w:type="dxa"/>
          </w:tcPr>
          <w:p w:rsidR="00F44E5C" w:rsidRPr="00BF0E13" w:rsidRDefault="00BF0E13" w:rsidP="00BE799C">
            <w:pPr>
              <w:rPr>
                <w:lang w:val="kk-KZ"/>
              </w:rPr>
            </w:pPr>
            <w:r>
              <w:rPr>
                <w:lang w:val="kk-KZ"/>
              </w:rPr>
              <w:t>2.1.5</w:t>
            </w:r>
          </w:p>
        </w:tc>
        <w:tc>
          <w:tcPr>
            <w:tcW w:w="2551" w:type="dxa"/>
          </w:tcPr>
          <w:p w:rsidR="00F44E5C" w:rsidRPr="00F7450F" w:rsidRDefault="00F44E5C" w:rsidP="00BE799C">
            <w:r>
              <w:rPr>
                <w:rFonts w:ascii="Times New Roman" w:eastAsia="Times New Roman" w:hAnsi="Times New Roman" w:cs="Times New Roman"/>
                <w:color w:val="000000"/>
                <w:spacing w:val="1"/>
                <w:sz w:val="23"/>
                <w:szCs w:val="23"/>
                <w:lang w:val="kk-KZ"/>
              </w:rPr>
              <w:t>Тұрақтылық</w:t>
            </w:r>
          </w:p>
        </w:tc>
        <w:tc>
          <w:tcPr>
            <w:tcW w:w="5381" w:type="dxa"/>
          </w:tcPr>
          <w:p w:rsidR="00F44E5C" w:rsidRPr="00F7450F" w:rsidRDefault="00F44E5C" w:rsidP="00BE799C">
            <w:r w:rsidRPr="001719DE">
              <w:rPr>
                <w:rFonts w:ascii="Times New Roman" w:eastAsia="Times New Roman" w:hAnsi="Times New Roman" w:cs="Times New Roman"/>
                <w:color w:val="000000"/>
                <w:spacing w:val="1"/>
                <w:sz w:val="23"/>
                <w:szCs w:val="23"/>
              </w:rPr>
              <w:t>Тұрақтылықты тестілеу үшін CT-P6 дәрілік препаратының 6 партиясы пайдаланылды, оның ішінде 3-</w:t>
            </w:r>
            <w:proofErr w:type="gramStart"/>
            <w:r w:rsidRPr="001719DE">
              <w:rPr>
                <w:rFonts w:ascii="Times New Roman" w:eastAsia="Times New Roman" w:hAnsi="Times New Roman" w:cs="Times New Roman"/>
                <w:color w:val="000000"/>
                <w:spacing w:val="1"/>
                <w:sz w:val="23"/>
                <w:szCs w:val="23"/>
              </w:rPr>
              <w:t>і</w:t>
            </w:r>
            <w:proofErr w:type="gramEnd"/>
            <w:r w:rsidRPr="001719DE">
              <w:rPr>
                <w:rFonts w:ascii="Times New Roman" w:eastAsia="Times New Roman" w:hAnsi="Times New Roman" w:cs="Times New Roman"/>
                <w:color w:val="000000"/>
                <w:spacing w:val="1"/>
                <w:sz w:val="23"/>
                <w:szCs w:val="23"/>
              </w:rPr>
              <w:t xml:space="preserve"> а процесімен (13А4С002-13А4С004) </w:t>
            </w:r>
            <w:r w:rsidRPr="001719DE">
              <w:rPr>
                <w:rFonts w:ascii="Times New Roman" w:eastAsia="Times New Roman" w:hAnsi="Times New Roman" w:cs="Times New Roman"/>
                <w:color w:val="000000"/>
                <w:spacing w:val="1"/>
                <w:sz w:val="23"/>
                <w:szCs w:val="23"/>
              </w:rPr>
              <w:lastRenderedPageBreak/>
              <w:t xml:space="preserve">және 3-процесспен (14А4С001-14А4С003) алынған. Тұрақтылық зерттеулеріне енгізілген дәрілік препараттың барлық партиялары CT-P6 дәрілік препаратын коммерциялық жеткізу үшін ұсынылған бірдей контейнерді жабатын жүйеде сақталған. Қалпына келтірілген тұрақтылықты тестілеу үшін CT-P6 қалпына келтірілген дәрілік өнімді пайдалану процесінде 48 сағат бойы 5 ± 3 ° C Сақтау алдында инъекцияға арналған 7,2 мл су қалпына келтірілді. Дәрілік зат сапасының елеулі өзгерістерінің тұрақтылығына ұзақ мерзімді және жедел сынау нәтижелері CT-P6 көрсеткен жоқ. Барлық партиялардың стресстік сынақтары ұсынылған коммерциялық қабылдау </w:t>
            </w:r>
            <w:r>
              <w:rPr>
                <w:rFonts w:ascii="Times New Roman" w:eastAsia="Times New Roman" w:hAnsi="Times New Roman" w:cs="Times New Roman"/>
                <w:color w:val="000000"/>
                <w:spacing w:val="1"/>
                <w:sz w:val="23"/>
                <w:szCs w:val="23"/>
                <w:lang w:val="kk-KZ"/>
              </w:rPr>
              <w:t xml:space="preserve">өлшемшарты </w:t>
            </w:r>
            <w:r w:rsidRPr="001719DE">
              <w:rPr>
                <w:rFonts w:ascii="Times New Roman" w:eastAsia="Times New Roman" w:hAnsi="Times New Roman" w:cs="Times New Roman"/>
                <w:color w:val="000000"/>
                <w:spacing w:val="1"/>
                <w:sz w:val="23"/>
                <w:szCs w:val="23"/>
              </w:rPr>
              <w:t>шеңберінде 3 айдан кейін сақталды. A процесі мен B процесі арқылы дайындалған дәрілік препараттың партияларының салыстырмалылығы дәлелденген (бұл өзгерістер өндіріс ауқымын ұлғайтуды және бақылау процесіндегі өзгерістерді қамтиды. Сонымен қатар, өндіріс кезінде стерильділікті қамтамасыз ету үшін екі стерильдік сүзгі және онымен байланысты процесс бақылау құралдары мен сүзуді басқарудың сыни элементтері орнына өзгеріс енгізілді, бұл өнімнің сапасын қамтамасыз етеді. Салыстыруға арналған сынақ нәтижелері осы екі процесте дайындалған CT-P6 дәрілік заттың сынауға арналған сериялық бұйымдарға арналған ерекшеліктер диапазоны шегінде жақсы бақыланатынын көрсетті. Бұдан басқа, физика-химиялық қасиеттері үшін бастапқы құрылымға, неғұрлым жоғары ретті құрылымға және гликозилдеуге қатысты елеулі айырмашылықтар байқалмаған). 5 ± 3 ° C кезінде сақталатын CT-P6 дәрілік препаратының ұсынылатын жарамдылық мерзімі 48 айды құрайды.</w:t>
            </w:r>
          </w:p>
        </w:tc>
      </w:tr>
      <w:tr w:rsidR="00F44E5C" w:rsidRPr="00F7450F" w:rsidTr="00BE799C">
        <w:tc>
          <w:tcPr>
            <w:tcW w:w="1413" w:type="dxa"/>
          </w:tcPr>
          <w:p w:rsidR="00F44E5C" w:rsidRPr="00F7450F" w:rsidRDefault="00F44E5C" w:rsidP="00BE799C">
            <w:r>
              <w:rPr>
                <w:rFonts w:ascii="Times New Roman" w:eastAsia="Times New Roman" w:hAnsi="Times New Roman" w:cs="Times New Roman"/>
                <w:color w:val="000000"/>
                <w:sz w:val="23"/>
                <w:szCs w:val="23"/>
              </w:rPr>
              <w:lastRenderedPageBreak/>
              <w:t>2.2</w:t>
            </w:r>
            <w:bookmarkStart w:id="0" w:name="_GoBack"/>
            <w:bookmarkEnd w:id="0"/>
          </w:p>
        </w:tc>
        <w:tc>
          <w:tcPr>
            <w:tcW w:w="2551" w:type="dxa"/>
          </w:tcPr>
          <w:p w:rsidR="00F44E5C" w:rsidRPr="00F7450F" w:rsidRDefault="00F44E5C" w:rsidP="00BE799C">
            <w:r>
              <w:rPr>
                <w:rFonts w:ascii="Times New Roman" w:eastAsia="Times New Roman" w:hAnsi="Times New Roman" w:cs="Times New Roman"/>
                <w:color w:val="000000"/>
                <w:spacing w:val="3"/>
                <w:sz w:val="23"/>
                <w:szCs w:val="23"/>
                <w:lang w:val="kk-KZ"/>
              </w:rPr>
              <w:t>Клиникаға дейінгі</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спе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5381" w:type="dxa"/>
          </w:tcPr>
          <w:p w:rsidR="00F44E5C" w:rsidRDefault="00F44E5C" w:rsidP="00BE799C">
            <w:pPr>
              <w:spacing w:after="12" w:line="200" w:lineRule="exact"/>
              <w:rPr>
                <w:rFonts w:ascii="Times New Roman" w:eastAsia="Times New Roman" w:hAnsi="Times New Roman" w:cs="Times New Roman"/>
                <w:sz w:val="20"/>
                <w:szCs w:val="20"/>
              </w:rPr>
            </w:pPr>
            <w:r w:rsidRPr="00C25933">
              <w:rPr>
                <w:rFonts w:ascii="Times New Roman" w:eastAsia="Times New Roman" w:hAnsi="Times New Roman" w:cs="Times New Roman"/>
                <w:color w:val="000000"/>
                <w:spacing w:val="2"/>
                <w:sz w:val="23"/>
                <w:szCs w:val="23"/>
              </w:rPr>
              <w:t>Ұсынылған in vivo жануарларға зерттеулер:</w:t>
            </w: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4"/>
                <w:sz w:val="23"/>
                <w:szCs w:val="23"/>
              </w:rPr>
              <w:t xml:space="preserve"> </w:t>
            </w:r>
            <w:r w:rsidRPr="00C25933">
              <w:rPr>
                <w:rFonts w:ascii="Times New Roman" w:eastAsia="Times New Roman" w:hAnsi="Times New Roman" w:cs="Times New Roman"/>
                <w:color w:val="000000"/>
                <w:spacing w:val="2"/>
                <w:sz w:val="23"/>
                <w:szCs w:val="23"/>
              </w:rPr>
              <w:t xml:space="preserve">Бастапқы </w:t>
            </w:r>
            <w:r>
              <w:rPr>
                <w:rFonts w:ascii="Times New Roman" w:eastAsia="Times New Roman" w:hAnsi="Times New Roman" w:cs="Times New Roman"/>
                <w:color w:val="000000"/>
                <w:spacing w:val="2"/>
                <w:sz w:val="23"/>
                <w:szCs w:val="23"/>
                <w:lang w:val="kk-KZ"/>
              </w:rPr>
              <w:t>ф</w:t>
            </w:r>
            <w:r w:rsidRPr="00C25933">
              <w:rPr>
                <w:rFonts w:ascii="Times New Roman" w:eastAsia="Times New Roman" w:hAnsi="Times New Roman" w:cs="Times New Roman"/>
                <w:color w:val="000000"/>
                <w:spacing w:val="2"/>
                <w:sz w:val="23"/>
                <w:szCs w:val="23"/>
              </w:rPr>
              <w:t>армакодинамикасы</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4"/>
                <w:sz w:val="23"/>
                <w:szCs w:val="23"/>
              </w:rPr>
              <w:t xml:space="preserve"> </w:t>
            </w:r>
            <w:r w:rsidRPr="00C25933">
              <w:rPr>
                <w:rFonts w:ascii="Times New Roman" w:eastAsia="Times New Roman" w:hAnsi="Times New Roman" w:cs="Times New Roman"/>
                <w:color w:val="000000"/>
                <w:spacing w:val="1"/>
                <w:sz w:val="23"/>
                <w:szCs w:val="23"/>
              </w:rPr>
              <w:t>Қауіпсіздік фармакологиясы</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lang w:val="kk-KZ"/>
              </w:rPr>
              <w:t>Сору</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1"/>
                <w:sz w:val="23"/>
                <w:szCs w:val="23"/>
                <w:lang w:val="kk-KZ"/>
              </w:rPr>
              <w:t>Араластыру</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pacing w:val="-1"/>
                <w:sz w:val="23"/>
                <w:szCs w:val="23"/>
              </w:rPr>
            </w:pP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Метаб</w:t>
            </w:r>
            <w:r>
              <w:rPr>
                <w:rFonts w:ascii="Times New Roman" w:eastAsia="Times New Roman" w:hAnsi="Times New Roman" w:cs="Times New Roman"/>
                <w:color w:val="000000"/>
                <w:spacing w:val="-1"/>
                <w:sz w:val="23"/>
                <w:szCs w:val="23"/>
              </w:rPr>
              <w:t>олизм;</w:t>
            </w:r>
          </w:p>
          <w:p w:rsidR="00F44E5C" w:rsidRDefault="00F44E5C" w:rsidP="00BE799C">
            <w:pPr>
              <w:spacing w:after="12" w:line="200" w:lineRule="exact"/>
              <w:rPr>
                <w:rFonts w:ascii="Times New Roman" w:eastAsia="Times New Roman" w:hAnsi="Times New Roman" w:cs="Times New Roman"/>
                <w:spacing w:val="-1"/>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4"/>
                <w:sz w:val="23"/>
                <w:szCs w:val="23"/>
              </w:rPr>
              <w:t xml:space="preserve"> </w:t>
            </w:r>
            <w:r w:rsidRPr="00C25933">
              <w:rPr>
                <w:rFonts w:ascii="Times New Roman" w:eastAsia="Times New Roman" w:hAnsi="Times New Roman" w:cs="Times New Roman"/>
                <w:color w:val="000000"/>
                <w:spacing w:val="2"/>
                <w:sz w:val="23"/>
                <w:szCs w:val="23"/>
              </w:rPr>
              <w:t>Фармакокинетикалық дәрілермен өзара әрекеттесуі</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4"/>
                <w:sz w:val="23"/>
                <w:szCs w:val="23"/>
              </w:rPr>
              <w:t xml:space="preserve"> </w:t>
            </w:r>
            <w:r w:rsidRPr="00C25933">
              <w:rPr>
                <w:rFonts w:ascii="Times New Roman" w:eastAsia="Times New Roman" w:hAnsi="Times New Roman" w:cs="Times New Roman"/>
                <w:color w:val="000000"/>
                <w:spacing w:val="2"/>
                <w:sz w:val="23"/>
                <w:szCs w:val="23"/>
              </w:rPr>
              <w:t>Бір реттік дозаны енгізу кезіндегі уыттылығы</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w:t>
            </w:r>
            <w:r>
              <w:rPr>
                <w:rFonts w:ascii="Times New Roman" w:eastAsia="Times New Roman" w:hAnsi="Times New Roman" w:cs="Times New Roman"/>
                <w:color w:val="000000"/>
                <w:spacing w:val="-4"/>
                <w:sz w:val="23"/>
                <w:szCs w:val="23"/>
              </w:rPr>
              <w:t xml:space="preserve"> </w:t>
            </w:r>
            <w:r w:rsidRPr="00C25933">
              <w:rPr>
                <w:rFonts w:ascii="Times New Roman" w:eastAsia="Times New Roman" w:hAnsi="Times New Roman" w:cs="Times New Roman"/>
                <w:color w:val="000000"/>
                <w:spacing w:val="3"/>
                <w:sz w:val="23"/>
                <w:szCs w:val="23"/>
              </w:rPr>
              <w:t>Қайталама дозаларды енгізу кезіндегі уыттылығы</w:t>
            </w:r>
            <w:r>
              <w:rPr>
                <w:rFonts w:ascii="Times New Roman" w:eastAsia="Times New Roman" w:hAnsi="Times New Roman" w:cs="Times New Roman"/>
                <w:color w:val="000000"/>
                <w:sz w:val="23"/>
                <w:szCs w:val="23"/>
              </w:rPr>
              <w:t>;</w:t>
            </w:r>
          </w:p>
          <w:p w:rsidR="00F44E5C" w:rsidRDefault="00F44E5C" w:rsidP="00BE799C">
            <w:pPr>
              <w:spacing w:after="13" w:line="200" w:lineRule="exact"/>
              <w:rPr>
                <w:rFonts w:ascii="Times New Roman" w:eastAsia="Times New Roman" w:hAnsi="Times New Roman" w:cs="Times New Roman"/>
                <w:sz w:val="20"/>
                <w:szCs w:val="20"/>
              </w:rPr>
            </w:pPr>
          </w:p>
          <w:p w:rsidR="00F44E5C" w:rsidRDefault="00F44E5C" w:rsidP="00BE799C">
            <w:pPr>
              <w:widowControl w:val="0"/>
              <w:tabs>
                <w:tab w:val="left" w:pos="532"/>
                <w:tab w:val="left" w:pos="1276"/>
                <w:tab w:val="left" w:pos="1527"/>
                <w:tab w:val="left" w:pos="1887"/>
                <w:tab w:val="left" w:pos="2421"/>
                <w:tab w:val="left" w:pos="2838"/>
                <w:tab w:val="left" w:pos="3881"/>
                <w:tab w:val="left" w:pos="4269"/>
                <w:tab w:val="left" w:pos="4893"/>
                <w:tab w:val="left" w:pos="5152"/>
                <w:tab w:val="left" w:pos="5524"/>
              </w:tabs>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z w:val="23"/>
                <w:szCs w:val="23"/>
              </w:rPr>
              <w:tab/>
            </w:r>
            <w:r w:rsidRPr="00C25933">
              <w:rPr>
                <w:rFonts w:ascii="Times New Roman" w:eastAsia="Times New Roman" w:hAnsi="Times New Roman" w:cs="Times New Roman"/>
                <w:color w:val="000000"/>
                <w:spacing w:val="2"/>
                <w:sz w:val="23"/>
                <w:szCs w:val="23"/>
              </w:rPr>
              <w:t xml:space="preserve">Репродуктивті және онтогенетикалық уыттылығы: ұрпағын жаңғырту және ерте эмбрионалды дамыту, ұрықтың ұрығының дамуы, </w:t>
            </w:r>
            <w:r w:rsidRPr="00C25933">
              <w:rPr>
                <w:rFonts w:ascii="Times New Roman" w:eastAsia="Times New Roman" w:hAnsi="Times New Roman" w:cs="Times New Roman"/>
                <w:color w:val="000000"/>
                <w:spacing w:val="2"/>
                <w:sz w:val="23"/>
                <w:szCs w:val="23"/>
              </w:rPr>
              <w:lastRenderedPageBreak/>
              <w:t>құрсақтағы және босанғаннан кейінгі даму, ұрпақтарына (өсіп келе жатқан жануарлар) белгілі бір дозаны берген және/немесе одан әрі бағалаған зерттеулер</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10)</w:t>
            </w:r>
            <w:r>
              <w:rPr>
                <w:rFonts w:ascii="Times New Roman" w:eastAsia="Times New Roman" w:hAnsi="Times New Roman" w:cs="Times New Roman"/>
                <w:color w:val="000000"/>
                <w:spacing w:val="-4"/>
                <w:sz w:val="23"/>
                <w:szCs w:val="23"/>
              </w:rPr>
              <w:t xml:space="preserve"> </w:t>
            </w:r>
            <w:r w:rsidRPr="007A2B57">
              <w:rPr>
                <w:rFonts w:ascii="Times New Roman" w:eastAsia="Times New Roman" w:hAnsi="Times New Roman" w:cs="Times New Roman"/>
                <w:color w:val="000000"/>
                <w:spacing w:val="1"/>
                <w:sz w:val="23"/>
                <w:szCs w:val="23"/>
              </w:rPr>
              <w:t>Жергілікті төзімділік</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Default="00F44E5C" w:rsidP="00BE799C">
            <w:pPr>
              <w:widowControl w:val="0"/>
              <w:tabs>
                <w:tab w:val="left" w:pos="629"/>
                <w:tab w:val="left" w:pos="1596"/>
                <w:tab w:val="left" w:pos="3223"/>
                <w:tab w:val="left" w:pos="4799"/>
              </w:tabs>
              <w:ind w:left="60" w:right="-16"/>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1</w:t>
            </w:r>
            <w:r>
              <w:rPr>
                <w:rFonts w:ascii="Times New Roman" w:eastAsia="Times New Roman" w:hAnsi="Times New Roman" w:cs="Times New Roman"/>
                <w:color w:val="000000"/>
                <w:spacing w:val="8"/>
                <w:sz w:val="23"/>
                <w:szCs w:val="23"/>
              </w:rPr>
              <w:t>1</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ab/>
            </w:r>
            <w:r w:rsidRPr="007A2B57">
              <w:rPr>
                <w:rFonts w:ascii="Times New Roman" w:eastAsia="Times New Roman" w:hAnsi="Times New Roman" w:cs="Times New Roman"/>
                <w:color w:val="000000"/>
                <w:spacing w:val="3"/>
                <w:sz w:val="23"/>
                <w:szCs w:val="23"/>
              </w:rPr>
              <w:t>Басқа уыттылық зерттеулері: антигендік, иммуноуыттылық</w:t>
            </w:r>
            <w:r>
              <w:rPr>
                <w:rFonts w:ascii="Times New Roman" w:eastAsia="Times New Roman" w:hAnsi="Times New Roman" w:cs="Times New Roman"/>
                <w:color w:val="000000"/>
                <w:sz w:val="23"/>
                <w:szCs w:val="23"/>
              </w:rPr>
              <w:t>.</w:t>
            </w:r>
          </w:p>
          <w:p w:rsidR="00F44E5C" w:rsidRDefault="00F44E5C" w:rsidP="00BE799C">
            <w:pPr>
              <w:spacing w:after="12" w:line="200" w:lineRule="exact"/>
              <w:rPr>
                <w:rFonts w:ascii="Times New Roman" w:eastAsia="Times New Roman" w:hAnsi="Times New Roman" w:cs="Times New Roman"/>
                <w:sz w:val="20"/>
                <w:szCs w:val="20"/>
              </w:rPr>
            </w:pPr>
          </w:p>
          <w:p w:rsidR="00F44E5C" w:rsidRPr="00F7450F" w:rsidRDefault="00F44E5C" w:rsidP="00BE799C">
            <w:r w:rsidRPr="007A2B57">
              <w:rPr>
                <w:rFonts w:ascii="Times New Roman" w:eastAsia="Times New Roman" w:hAnsi="Times New Roman" w:cs="Times New Roman"/>
                <w:color w:val="000000"/>
                <w:spacing w:val="1"/>
                <w:sz w:val="23"/>
                <w:szCs w:val="23"/>
              </w:rPr>
              <w:t>Герзума® (СТ-Р6) Герцептиннің® әсеріне ұқсас әсер ететінін растау үшін in vitro зерттеулер сериясы жүргізілді, бұл қосымша айғақтарды экстраполяциялауды қолдау үшін пайдаланылатын трастузумабтың әрекет ету механизміне (МоА) қатысты әдебиетте жақсы танымал кейінгі негізгі әсерлерге.</w:t>
            </w:r>
            <w:r w:rsidRPr="007A2B57">
              <w:rPr>
                <w:rFonts w:ascii="Times New Roman" w:eastAsia="Times New Roman" w:hAnsi="Times New Roman" w:cs="Times New Roman"/>
                <w:color w:val="000000"/>
                <w:spacing w:val="1"/>
                <w:sz w:val="23"/>
                <w:szCs w:val="23"/>
              </w:rPr>
              <w:tab/>
              <w:t>Зерттеулер туралы толық ақпарат 3.2-бөлімде сипатталған.R. 4 және 5.3.5.4-бөлімде. Экстраполяция бойынша позициялық құжат.</w:t>
            </w:r>
          </w:p>
        </w:tc>
      </w:tr>
      <w:tr w:rsidR="00F44E5C" w:rsidRPr="003D4F6B" w:rsidTr="00BE799C">
        <w:tc>
          <w:tcPr>
            <w:tcW w:w="1413" w:type="dxa"/>
          </w:tcPr>
          <w:p w:rsidR="00F44E5C" w:rsidRPr="00F7450F" w:rsidRDefault="00F44E5C" w:rsidP="00BE799C">
            <w:r>
              <w:rPr>
                <w:rFonts w:ascii="Times New Roman" w:eastAsia="Times New Roman" w:hAnsi="Times New Roman" w:cs="Times New Roman"/>
                <w:color w:val="000000"/>
                <w:sz w:val="23"/>
                <w:szCs w:val="23"/>
              </w:rPr>
              <w:lastRenderedPageBreak/>
              <w:t>2.3</w:t>
            </w:r>
          </w:p>
        </w:tc>
        <w:tc>
          <w:tcPr>
            <w:tcW w:w="2551" w:type="dxa"/>
          </w:tcPr>
          <w:p w:rsidR="00F44E5C" w:rsidRPr="00F7450F" w:rsidRDefault="00F44E5C" w:rsidP="00BE799C">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lang w:val="kk-KZ"/>
              </w:rPr>
              <w:t>ілер</w:t>
            </w:r>
          </w:p>
        </w:tc>
        <w:tc>
          <w:tcPr>
            <w:tcW w:w="5381" w:type="dxa"/>
          </w:tcPr>
          <w:p w:rsidR="00F44E5C" w:rsidRPr="007A2B57" w:rsidRDefault="00F44E5C" w:rsidP="00BE799C">
            <w:pPr>
              <w:widowControl w:val="0"/>
              <w:ind w:left="60" w:right="945"/>
              <w:rPr>
                <w:rFonts w:ascii="Times New Roman" w:eastAsia="Times New Roman" w:hAnsi="Times New Roman" w:cs="Times New Roman"/>
                <w:color w:val="000000"/>
                <w:spacing w:val="2"/>
                <w:sz w:val="23"/>
                <w:szCs w:val="23"/>
              </w:rPr>
            </w:pPr>
            <w:r w:rsidRPr="007A2B57">
              <w:rPr>
                <w:rFonts w:ascii="Times New Roman" w:eastAsia="Times New Roman" w:hAnsi="Times New Roman" w:cs="Times New Roman"/>
                <w:color w:val="000000"/>
                <w:spacing w:val="2"/>
                <w:sz w:val="23"/>
                <w:szCs w:val="23"/>
              </w:rPr>
              <w:t>Зерттеу атауы: 3 фазасы, параллельді топтармен қосарланған соқыр рандомизацияланған зерттеу, белсенді бақыланатын, салыстырмалы зерттеу.</w:t>
            </w:r>
          </w:p>
          <w:p w:rsidR="00F44E5C" w:rsidRPr="007A2B57" w:rsidRDefault="00F44E5C" w:rsidP="00BE799C">
            <w:pPr>
              <w:widowControl w:val="0"/>
              <w:ind w:left="60" w:right="945"/>
              <w:rPr>
                <w:rFonts w:ascii="Times New Roman" w:eastAsia="Times New Roman" w:hAnsi="Times New Roman" w:cs="Times New Roman"/>
                <w:color w:val="000000"/>
                <w:spacing w:val="2"/>
                <w:sz w:val="23"/>
                <w:szCs w:val="23"/>
              </w:rPr>
            </w:pPr>
          </w:p>
          <w:p w:rsidR="00F44E5C" w:rsidRDefault="00F44E5C" w:rsidP="00BE799C">
            <w:pPr>
              <w:spacing w:after="12" w:line="200" w:lineRule="exact"/>
              <w:rPr>
                <w:rFonts w:ascii="Times New Roman" w:eastAsia="Times New Roman" w:hAnsi="Times New Roman" w:cs="Times New Roman"/>
                <w:sz w:val="20"/>
                <w:szCs w:val="20"/>
              </w:rPr>
            </w:pPr>
            <w:r w:rsidRPr="007A2B57">
              <w:rPr>
                <w:rFonts w:ascii="Times New Roman" w:eastAsia="Times New Roman" w:hAnsi="Times New Roman" w:cs="Times New Roman"/>
                <w:color w:val="000000"/>
                <w:spacing w:val="2"/>
                <w:sz w:val="23"/>
                <w:szCs w:val="23"/>
              </w:rPr>
              <w:t>Зерттеу екі клиникалық орталықта жүргізілді:</w:t>
            </w:r>
          </w:p>
          <w:p w:rsidR="00F44E5C" w:rsidRPr="00D42201" w:rsidRDefault="00F44E5C" w:rsidP="00BE799C">
            <w:pPr>
              <w:widowControl w:val="0"/>
              <w:ind w:left="60" w:right="249"/>
              <w:rPr>
                <w:rFonts w:ascii="Times New Roman" w:eastAsia="Times New Roman" w:hAnsi="Times New Roman" w:cs="Times New Roman"/>
                <w:color w:val="000000"/>
                <w:sz w:val="23"/>
                <w:szCs w:val="23"/>
                <w:lang w:val="en-US"/>
              </w:rPr>
            </w:pPr>
            <w:r w:rsidRPr="00D42201">
              <w:rPr>
                <w:rFonts w:ascii="Times New Roman" w:eastAsia="Times New Roman" w:hAnsi="Times New Roman" w:cs="Times New Roman"/>
                <w:color w:val="000000"/>
                <w:spacing w:val="3"/>
                <w:sz w:val="23"/>
                <w:szCs w:val="23"/>
                <w:lang w:val="en-US"/>
              </w:rPr>
              <w:t>PP</w:t>
            </w:r>
            <w:r w:rsidRPr="00D42201">
              <w:rPr>
                <w:rFonts w:ascii="Times New Roman" w:eastAsia="Times New Roman" w:hAnsi="Times New Roman" w:cs="Times New Roman"/>
                <w:color w:val="000000"/>
                <w:sz w:val="23"/>
                <w:szCs w:val="23"/>
                <w:lang w:val="en-US"/>
              </w:rPr>
              <w:t>D</w:t>
            </w:r>
            <w:r w:rsidRPr="00D42201">
              <w:rPr>
                <w:rFonts w:ascii="Times New Roman" w:eastAsia="Times New Roman" w:hAnsi="Times New Roman" w:cs="Times New Roman"/>
                <w:color w:val="000000"/>
                <w:spacing w:val="61"/>
                <w:sz w:val="23"/>
                <w:szCs w:val="23"/>
                <w:lang w:val="en-US"/>
              </w:rPr>
              <w:t xml:space="preserve"> </w:t>
            </w:r>
            <w:r w:rsidRPr="00D42201">
              <w:rPr>
                <w:rFonts w:ascii="Times New Roman" w:eastAsia="Times New Roman" w:hAnsi="Times New Roman" w:cs="Times New Roman"/>
                <w:color w:val="000000"/>
                <w:spacing w:val="12"/>
                <w:sz w:val="23"/>
                <w:szCs w:val="23"/>
                <w:lang w:val="en-US"/>
              </w:rPr>
              <w:t>C</w:t>
            </w:r>
            <w:r w:rsidRPr="00D42201">
              <w:rPr>
                <w:rFonts w:ascii="Times New Roman" w:eastAsia="Times New Roman" w:hAnsi="Times New Roman" w:cs="Times New Roman"/>
                <w:color w:val="000000"/>
                <w:spacing w:val="5"/>
                <w:sz w:val="23"/>
                <w:szCs w:val="23"/>
                <w:lang w:val="en-US"/>
              </w:rPr>
              <w:t>l</w:t>
            </w:r>
            <w:r w:rsidRPr="00D42201">
              <w:rPr>
                <w:rFonts w:ascii="Times New Roman" w:eastAsia="Times New Roman" w:hAnsi="Times New Roman" w:cs="Times New Roman"/>
                <w:color w:val="000000"/>
                <w:spacing w:val="6"/>
                <w:sz w:val="23"/>
                <w:szCs w:val="23"/>
                <w:lang w:val="en-US"/>
              </w:rPr>
              <w:t>i</w:t>
            </w:r>
            <w:r w:rsidRPr="00D42201">
              <w:rPr>
                <w:rFonts w:ascii="Times New Roman" w:eastAsia="Times New Roman" w:hAnsi="Times New Roman" w:cs="Times New Roman"/>
                <w:color w:val="000000"/>
                <w:spacing w:val="9"/>
                <w:sz w:val="23"/>
                <w:szCs w:val="23"/>
                <w:lang w:val="en-US"/>
              </w:rPr>
              <w:t>n</w:t>
            </w:r>
            <w:r w:rsidRPr="00D42201">
              <w:rPr>
                <w:rFonts w:ascii="Times New Roman" w:eastAsia="Times New Roman" w:hAnsi="Times New Roman" w:cs="Times New Roman"/>
                <w:color w:val="000000"/>
                <w:spacing w:val="5"/>
                <w:sz w:val="23"/>
                <w:szCs w:val="23"/>
                <w:lang w:val="en-US"/>
              </w:rPr>
              <w:t>i</w:t>
            </w:r>
            <w:r w:rsidRPr="00D42201">
              <w:rPr>
                <w:rFonts w:ascii="Times New Roman" w:eastAsia="Times New Roman" w:hAnsi="Times New Roman" w:cs="Times New Roman"/>
                <w:color w:val="000000"/>
                <w:spacing w:val="7"/>
                <w:sz w:val="23"/>
                <w:szCs w:val="23"/>
                <w:lang w:val="en-US"/>
              </w:rPr>
              <w:t>c</w:t>
            </w:r>
            <w:r w:rsidRPr="00D42201">
              <w:rPr>
                <w:rFonts w:ascii="Times New Roman" w:eastAsia="Times New Roman" w:hAnsi="Times New Roman" w:cs="Times New Roman"/>
                <w:color w:val="000000"/>
                <w:sz w:val="23"/>
                <w:szCs w:val="23"/>
                <w:lang w:val="en-US"/>
              </w:rPr>
              <w:t xml:space="preserve">, </w:t>
            </w:r>
            <w:r w:rsidRPr="00D42201">
              <w:rPr>
                <w:rFonts w:ascii="Times New Roman" w:eastAsia="Times New Roman" w:hAnsi="Times New Roman" w:cs="Times New Roman"/>
                <w:color w:val="000000"/>
                <w:spacing w:val="1"/>
                <w:sz w:val="23"/>
                <w:szCs w:val="23"/>
                <w:lang w:val="en-US"/>
              </w:rPr>
              <w:t>7</w:t>
            </w:r>
            <w:r w:rsidRPr="00D42201">
              <w:rPr>
                <w:rFonts w:ascii="Times New Roman" w:eastAsia="Times New Roman" w:hAnsi="Times New Roman" w:cs="Times New Roman"/>
                <w:color w:val="000000"/>
                <w:sz w:val="23"/>
                <w:szCs w:val="23"/>
                <w:lang w:val="en-US"/>
              </w:rPr>
              <w:t xml:space="preserve">551 </w:t>
            </w:r>
            <w:r w:rsidRPr="00D42201">
              <w:rPr>
                <w:rFonts w:ascii="Times New Roman" w:eastAsia="Times New Roman" w:hAnsi="Times New Roman" w:cs="Times New Roman"/>
                <w:color w:val="000000"/>
                <w:spacing w:val="6"/>
                <w:sz w:val="23"/>
                <w:szCs w:val="23"/>
                <w:lang w:val="en-US"/>
              </w:rPr>
              <w:t>M</w:t>
            </w:r>
            <w:r w:rsidRPr="00D42201">
              <w:rPr>
                <w:rFonts w:ascii="Times New Roman" w:eastAsia="Times New Roman" w:hAnsi="Times New Roman" w:cs="Times New Roman"/>
                <w:color w:val="000000"/>
                <w:spacing w:val="2"/>
                <w:sz w:val="23"/>
                <w:szCs w:val="23"/>
                <w:lang w:val="en-US"/>
              </w:rPr>
              <w:t>etr</w:t>
            </w:r>
            <w:r w:rsidRPr="00D42201">
              <w:rPr>
                <w:rFonts w:ascii="Times New Roman" w:eastAsia="Times New Roman" w:hAnsi="Times New Roman" w:cs="Times New Roman"/>
                <w:color w:val="000000"/>
                <w:sz w:val="23"/>
                <w:szCs w:val="23"/>
                <w:lang w:val="en-US"/>
              </w:rPr>
              <w:t>o</w:t>
            </w:r>
            <w:r w:rsidRPr="00D42201">
              <w:rPr>
                <w:rFonts w:ascii="Times New Roman" w:eastAsia="Times New Roman" w:hAnsi="Times New Roman" w:cs="Times New Roman"/>
                <w:color w:val="000000"/>
                <w:spacing w:val="4"/>
                <w:sz w:val="23"/>
                <w:szCs w:val="23"/>
                <w:lang w:val="en-US"/>
              </w:rPr>
              <w:t xml:space="preserve"> C</w:t>
            </w:r>
            <w:r w:rsidRPr="00D42201">
              <w:rPr>
                <w:rFonts w:ascii="Times New Roman" w:eastAsia="Times New Roman" w:hAnsi="Times New Roman" w:cs="Times New Roman"/>
                <w:color w:val="000000"/>
                <w:spacing w:val="3"/>
                <w:sz w:val="23"/>
                <w:szCs w:val="23"/>
                <w:lang w:val="en-US"/>
              </w:rPr>
              <w:t>en</w:t>
            </w:r>
            <w:r w:rsidRPr="00D42201">
              <w:rPr>
                <w:rFonts w:ascii="Times New Roman" w:eastAsia="Times New Roman" w:hAnsi="Times New Roman" w:cs="Times New Roman"/>
                <w:color w:val="000000"/>
                <w:spacing w:val="2"/>
                <w:sz w:val="23"/>
                <w:szCs w:val="23"/>
                <w:lang w:val="en-US"/>
              </w:rPr>
              <w:t>t</w:t>
            </w:r>
            <w:r w:rsidRPr="00D42201">
              <w:rPr>
                <w:rFonts w:ascii="Times New Roman" w:eastAsia="Times New Roman" w:hAnsi="Times New Roman" w:cs="Times New Roman"/>
                <w:color w:val="000000"/>
                <w:spacing w:val="3"/>
                <w:sz w:val="23"/>
                <w:szCs w:val="23"/>
                <w:lang w:val="en-US"/>
              </w:rPr>
              <w:t>e</w:t>
            </w:r>
            <w:r w:rsidRPr="00D42201">
              <w:rPr>
                <w:rFonts w:ascii="Times New Roman" w:eastAsia="Times New Roman" w:hAnsi="Times New Roman" w:cs="Times New Roman"/>
                <w:color w:val="000000"/>
                <w:sz w:val="23"/>
                <w:szCs w:val="23"/>
                <w:lang w:val="en-US"/>
              </w:rPr>
              <w:t>r</w:t>
            </w:r>
            <w:r w:rsidRPr="00D42201">
              <w:rPr>
                <w:rFonts w:ascii="Times New Roman" w:eastAsia="Times New Roman" w:hAnsi="Times New Roman" w:cs="Times New Roman"/>
                <w:color w:val="000000"/>
                <w:spacing w:val="3"/>
                <w:sz w:val="23"/>
                <w:szCs w:val="23"/>
                <w:lang w:val="en-US"/>
              </w:rPr>
              <w:t xml:space="preserve"> </w:t>
            </w:r>
            <w:r w:rsidRPr="00D42201">
              <w:rPr>
                <w:rFonts w:ascii="Times New Roman" w:eastAsia="Times New Roman" w:hAnsi="Times New Roman" w:cs="Times New Roman"/>
                <w:color w:val="000000"/>
                <w:spacing w:val="5"/>
                <w:sz w:val="23"/>
                <w:szCs w:val="23"/>
                <w:lang w:val="en-US"/>
              </w:rPr>
              <w:t>D</w:t>
            </w:r>
            <w:r w:rsidRPr="00D42201">
              <w:rPr>
                <w:rFonts w:ascii="Times New Roman" w:eastAsia="Times New Roman" w:hAnsi="Times New Roman" w:cs="Times New Roman"/>
                <w:color w:val="000000"/>
                <w:spacing w:val="2"/>
                <w:sz w:val="23"/>
                <w:szCs w:val="23"/>
                <w:lang w:val="en-US"/>
              </w:rPr>
              <w:t>r</w:t>
            </w:r>
            <w:r w:rsidRPr="00D42201">
              <w:rPr>
                <w:rFonts w:ascii="Times New Roman" w:eastAsia="Times New Roman" w:hAnsi="Times New Roman" w:cs="Times New Roman"/>
                <w:color w:val="000000"/>
                <w:spacing w:val="1"/>
                <w:sz w:val="23"/>
                <w:szCs w:val="23"/>
                <w:lang w:val="en-US"/>
              </w:rPr>
              <w:t>i</w:t>
            </w:r>
            <w:r w:rsidRPr="00D42201">
              <w:rPr>
                <w:rFonts w:ascii="Times New Roman" w:eastAsia="Times New Roman" w:hAnsi="Times New Roman" w:cs="Times New Roman"/>
                <w:color w:val="000000"/>
                <w:spacing w:val="4"/>
                <w:sz w:val="23"/>
                <w:szCs w:val="23"/>
                <w:lang w:val="en-US"/>
              </w:rPr>
              <w:t>v</w:t>
            </w:r>
            <w:r w:rsidRPr="00D42201">
              <w:rPr>
                <w:rFonts w:ascii="Times New Roman" w:eastAsia="Times New Roman" w:hAnsi="Times New Roman" w:cs="Times New Roman"/>
                <w:color w:val="000000"/>
                <w:sz w:val="23"/>
                <w:szCs w:val="23"/>
                <w:lang w:val="en-US"/>
              </w:rPr>
              <w:t xml:space="preserve">e, </w:t>
            </w:r>
            <w:r w:rsidRPr="00D42201">
              <w:rPr>
                <w:rFonts w:ascii="Times New Roman" w:eastAsia="Times New Roman" w:hAnsi="Times New Roman" w:cs="Times New Roman"/>
                <w:color w:val="000000"/>
                <w:spacing w:val="8"/>
                <w:sz w:val="23"/>
                <w:szCs w:val="23"/>
                <w:lang w:val="en-US"/>
              </w:rPr>
              <w:t>S</w:t>
            </w:r>
            <w:r w:rsidRPr="00D42201">
              <w:rPr>
                <w:rFonts w:ascii="Times New Roman" w:eastAsia="Times New Roman" w:hAnsi="Times New Roman" w:cs="Times New Roman"/>
                <w:color w:val="000000"/>
                <w:spacing w:val="7"/>
                <w:sz w:val="23"/>
                <w:szCs w:val="23"/>
                <w:lang w:val="en-US"/>
              </w:rPr>
              <w:t>u</w:t>
            </w:r>
            <w:r w:rsidRPr="00D42201">
              <w:rPr>
                <w:rFonts w:ascii="Times New Roman" w:eastAsia="Times New Roman" w:hAnsi="Times New Roman" w:cs="Times New Roman"/>
                <w:color w:val="000000"/>
                <w:spacing w:val="3"/>
                <w:sz w:val="23"/>
                <w:szCs w:val="23"/>
                <w:lang w:val="en-US"/>
              </w:rPr>
              <w:t>i</w:t>
            </w:r>
            <w:r w:rsidRPr="00D42201">
              <w:rPr>
                <w:rFonts w:ascii="Times New Roman" w:eastAsia="Times New Roman" w:hAnsi="Times New Roman" w:cs="Times New Roman"/>
                <w:color w:val="000000"/>
                <w:spacing w:val="4"/>
                <w:sz w:val="23"/>
                <w:szCs w:val="23"/>
                <w:lang w:val="en-US"/>
              </w:rPr>
              <w:t>t</w:t>
            </w:r>
            <w:r w:rsidRPr="00D42201">
              <w:rPr>
                <w:rFonts w:ascii="Times New Roman" w:eastAsia="Times New Roman" w:hAnsi="Times New Roman" w:cs="Times New Roman"/>
                <w:color w:val="000000"/>
                <w:sz w:val="23"/>
                <w:szCs w:val="23"/>
                <w:lang w:val="en-US"/>
              </w:rPr>
              <w:t>e</w:t>
            </w:r>
            <w:r w:rsidRPr="00D42201">
              <w:rPr>
                <w:rFonts w:ascii="Times New Roman" w:eastAsia="Times New Roman" w:hAnsi="Times New Roman" w:cs="Times New Roman"/>
                <w:color w:val="000000"/>
                <w:spacing w:val="10"/>
                <w:sz w:val="23"/>
                <w:szCs w:val="23"/>
                <w:lang w:val="en-US"/>
              </w:rPr>
              <w:t xml:space="preserve"> </w:t>
            </w:r>
            <w:r w:rsidRPr="00D42201">
              <w:rPr>
                <w:rFonts w:ascii="Times New Roman" w:eastAsia="Times New Roman" w:hAnsi="Times New Roman" w:cs="Times New Roman"/>
                <w:color w:val="000000"/>
                <w:sz w:val="23"/>
                <w:szCs w:val="23"/>
                <w:lang w:val="en-US"/>
              </w:rPr>
              <w:t>2</w:t>
            </w:r>
            <w:r w:rsidRPr="00D42201">
              <w:rPr>
                <w:rFonts w:ascii="Times New Roman" w:eastAsia="Times New Roman" w:hAnsi="Times New Roman" w:cs="Times New Roman"/>
                <w:color w:val="000000"/>
                <w:spacing w:val="1"/>
                <w:sz w:val="23"/>
                <w:szCs w:val="23"/>
                <w:lang w:val="en-US"/>
              </w:rPr>
              <w:t>0</w:t>
            </w:r>
            <w:r w:rsidRPr="00D42201">
              <w:rPr>
                <w:rFonts w:ascii="Times New Roman" w:eastAsia="Times New Roman" w:hAnsi="Times New Roman" w:cs="Times New Roman"/>
                <w:color w:val="000000"/>
                <w:sz w:val="23"/>
                <w:szCs w:val="23"/>
                <w:lang w:val="en-US"/>
              </w:rPr>
              <w:t xml:space="preserve">0, </w:t>
            </w:r>
            <w:r w:rsidRPr="00D42201">
              <w:rPr>
                <w:rFonts w:ascii="Times New Roman" w:eastAsia="Times New Roman" w:hAnsi="Times New Roman" w:cs="Times New Roman"/>
                <w:color w:val="000000"/>
                <w:spacing w:val="13"/>
                <w:sz w:val="23"/>
                <w:szCs w:val="23"/>
                <w:lang w:val="en-US"/>
              </w:rPr>
              <w:t>A</w:t>
            </w:r>
            <w:r w:rsidRPr="00D42201">
              <w:rPr>
                <w:rFonts w:ascii="Times New Roman" w:eastAsia="Times New Roman" w:hAnsi="Times New Roman" w:cs="Times New Roman"/>
                <w:color w:val="000000"/>
                <w:spacing w:val="9"/>
                <w:sz w:val="23"/>
                <w:szCs w:val="23"/>
                <w:lang w:val="en-US"/>
              </w:rPr>
              <w:t>u</w:t>
            </w:r>
            <w:r w:rsidRPr="00D42201">
              <w:rPr>
                <w:rFonts w:ascii="Times New Roman" w:eastAsia="Times New Roman" w:hAnsi="Times New Roman" w:cs="Times New Roman"/>
                <w:color w:val="000000"/>
                <w:spacing w:val="7"/>
                <w:sz w:val="23"/>
                <w:szCs w:val="23"/>
                <w:lang w:val="en-US"/>
              </w:rPr>
              <w:t>s</w:t>
            </w:r>
            <w:r w:rsidRPr="00D42201">
              <w:rPr>
                <w:rFonts w:ascii="Times New Roman" w:eastAsia="Times New Roman" w:hAnsi="Times New Roman" w:cs="Times New Roman"/>
                <w:color w:val="000000"/>
                <w:spacing w:val="6"/>
                <w:sz w:val="23"/>
                <w:szCs w:val="23"/>
                <w:lang w:val="en-US"/>
              </w:rPr>
              <w:t>t</w:t>
            </w:r>
            <w:r w:rsidRPr="00D42201">
              <w:rPr>
                <w:rFonts w:ascii="Times New Roman" w:eastAsia="Times New Roman" w:hAnsi="Times New Roman" w:cs="Times New Roman"/>
                <w:color w:val="000000"/>
                <w:spacing w:val="5"/>
                <w:sz w:val="23"/>
                <w:szCs w:val="23"/>
                <w:lang w:val="en-US"/>
              </w:rPr>
              <w:t>i</w:t>
            </w:r>
            <w:r w:rsidRPr="00D42201">
              <w:rPr>
                <w:rFonts w:ascii="Times New Roman" w:eastAsia="Times New Roman" w:hAnsi="Times New Roman" w:cs="Times New Roman"/>
                <w:color w:val="000000"/>
                <w:spacing w:val="9"/>
                <w:sz w:val="23"/>
                <w:szCs w:val="23"/>
                <w:lang w:val="en-US"/>
              </w:rPr>
              <w:t>n</w:t>
            </w:r>
            <w:r w:rsidRPr="00D42201">
              <w:rPr>
                <w:rFonts w:ascii="Times New Roman" w:eastAsia="Times New Roman" w:hAnsi="Times New Roman" w:cs="Times New Roman"/>
                <w:color w:val="000000"/>
                <w:sz w:val="23"/>
                <w:szCs w:val="23"/>
                <w:lang w:val="en-US"/>
              </w:rPr>
              <w:t xml:space="preserve">, </w:t>
            </w:r>
            <w:r w:rsidRPr="00D42201">
              <w:rPr>
                <w:rFonts w:ascii="Times New Roman" w:eastAsia="Times New Roman" w:hAnsi="Times New Roman" w:cs="Times New Roman"/>
                <w:color w:val="000000"/>
                <w:spacing w:val="5"/>
                <w:sz w:val="23"/>
                <w:szCs w:val="23"/>
                <w:lang w:val="en-US"/>
              </w:rPr>
              <w:t>T</w:t>
            </w:r>
            <w:r w:rsidRPr="00D42201">
              <w:rPr>
                <w:rFonts w:ascii="Times New Roman" w:eastAsia="Times New Roman" w:hAnsi="Times New Roman" w:cs="Times New Roman"/>
                <w:color w:val="000000"/>
                <w:sz w:val="23"/>
                <w:szCs w:val="23"/>
                <w:lang w:val="en-US"/>
              </w:rPr>
              <w:t>X 78</w:t>
            </w:r>
            <w:r w:rsidRPr="00D42201">
              <w:rPr>
                <w:rFonts w:ascii="Times New Roman" w:eastAsia="Times New Roman" w:hAnsi="Times New Roman" w:cs="Times New Roman"/>
                <w:color w:val="000000"/>
                <w:spacing w:val="1"/>
                <w:sz w:val="23"/>
                <w:szCs w:val="23"/>
                <w:lang w:val="en-US"/>
              </w:rPr>
              <w:t>7</w:t>
            </w:r>
            <w:r w:rsidRPr="00D42201">
              <w:rPr>
                <w:rFonts w:ascii="Times New Roman" w:eastAsia="Times New Roman" w:hAnsi="Times New Roman" w:cs="Times New Roman"/>
                <w:color w:val="000000"/>
                <w:sz w:val="23"/>
                <w:szCs w:val="23"/>
                <w:lang w:val="en-US"/>
              </w:rPr>
              <w:t xml:space="preserve">44, </w:t>
            </w:r>
            <w:r w:rsidRPr="00D42201">
              <w:rPr>
                <w:rFonts w:ascii="Times New Roman" w:eastAsia="Times New Roman" w:hAnsi="Times New Roman" w:cs="Times New Roman"/>
                <w:color w:val="000000"/>
                <w:spacing w:val="6"/>
                <w:sz w:val="23"/>
                <w:szCs w:val="23"/>
                <w:lang w:val="en-US"/>
              </w:rPr>
              <w:t>U</w:t>
            </w:r>
            <w:r w:rsidRPr="00D42201">
              <w:rPr>
                <w:rFonts w:ascii="Times New Roman" w:eastAsia="Times New Roman" w:hAnsi="Times New Roman" w:cs="Times New Roman"/>
                <w:color w:val="000000"/>
                <w:spacing w:val="4"/>
                <w:sz w:val="23"/>
                <w:szCs w:val="23"/>
                <w:lang w:val="en-US"/>
              </w:rPr>
              <w:t>S</w:t>
            </w:r>
            <w:r w:rsidRPr="00D42201">
              <w:rPr>
                <w:rFonts w:ascii="Times New Roman" w:eastAsia="Times New Roman" w:hAnsi="Times New Roman" w:cs="Times New Roman"/>
                <w:color w:val="000000"/>
                <w:spacing w:val="5"/>
                <w:sz w:val="23"/>
                <w:szCs w:val="23"/>
                <w:lang w:val="en-US"/>
              </w:rPr>
              <w:t>A</w:t>
            </w:r>
            <w:r w:rsidRPr="00D42201">
              <w:rPr>
                <w:rFonts w:ascii="Times New Roman" w:eastAsia="Times New Roman" w:hAnsi="Times New Roman" w:cs="Times New Roman"/>
                <w:color w:val="000000"/>
                <w:sz w:val="23"/>
                <w:szCs w:val="23"/>
                <w:lang w:val="en-US"/>
              </w:rPr>
              <w:t>.</w:t>
            </w:r>
          </w:p>
          <w:p w:rsidR="00F44E5C" w:rsidRPr="00D42201" w:rsidRDefault="00F44E5C" w:rsidP="00BE799C">
            <w:pPr>
              <w:spacing w:after="12" w:line="200" w:lineRule="exact"/>
              <w:rPr>
                <w:rFonts w:ascii="Times New Roman" w:eastAsia="Times New Roman" w:hAnsi="Times New Roman" w:cs="Times New Roman"/>
                <w:sz w:val="20"/>
                <w:szCs w:val="20"/>
                <w:lang w:val="en-US"/>
              </w:rPr>
            </w:pPr>
          </w:p>
          <w:p w:rsidR="00F44E5C" w:rsidRPr="00F7450F" w:rsidRDefault="00F44E5C" w:rsidP="00BE799C">
            <w:pPr>
              <w:rPr>
                <w:lang w:val="en-US"/>
              </w:rPr>
            </w:pPr>
            <w:r w:rsidRPr="00D42201">
              <w:rPr>
                <w:rFonts w:ascii="Times New Roman" w:eastAsia="Times New Roman" w:hAnsi="Times New Roman" w:cs="Times New Roman"/>
                <w:color w:val="000000"/>
                <w:spacing w:val="8"/>
                <w:sz w:val="23"/>
                <w:szCs w:val="23"/>
                <w:lang w:val="en-US"/>
              </w:rPr>
              <w:t>A</w:t>
            </w:r>
            <w:r w:rsidRPr="00D42201">
              <w:rPr>
                <w:rFonts w:ascii="Times New Roman" w:eastAsia="Times New Roman" w:hAnsi="Times New Roman" w:cs="Times New Roman"/>
                <w:color w:val="000000"/>
                <w:spacing w:val="6"/>
                <w:sz w:val="23"/>
                <w:szCs w:val="23"/>
                <w:lang w:val="en-US"/>
              </w:rPr>
              <w:t>n</w:t>
            </w:r>
            <w:r w:rsidRPr="00D42201">
              <w:rPr>
                <w:rFonts w:ascii="Times New Roman" w:eastAsia="Times New Roman" w:hAnsi="Times New Roman" w:cs="Times New Roman"/>
                <w:color w:val="000000"/>
                <w:spacing w:val="5"/>
                <w:sz w:val="23"/>
                <w:szCs w:val="23"/>
                <w:lang w:val="en-US"/>
              </w:rPr>
              <w:t>a</w:t>
            </w:r>
            <w:r w:rsidRPr="00D42201">
              <w:rPr>
                <w:rFonts w:ascii="Times New Roman" w:eastAsia="Times New Roman" w:hAnsi="Times New Roman" w:cs="Times New Roman"/>
                <w:color w:val="000000"/>
                <w:spacing w:val="6"/>
                <w:sz w:val="23"/>
                <w:szCs w:val="23"/>
                <w:lang w:val="en-US"/>
              </w:rPr>
              <w:t>h</w:t>
            </w:r>
            <w:r w:rsidRPr="00D42201">
              <w:rPr>
                <w:rFonts w:ascii="Times New Roman" w:eastAsia="Times New Roman" w:hAnsi="Times New Roman" w:cs="Times New Roman"/>
                <w:color w:val="000000"/>
                <w:spacing w:val="5"/>
                <w:sz w:val="23"/>
                <w:szCs w:val="23"/>
                <w:lang w:val="en-US"/>
              </w:rPr>
              <w:t>e</w:t>
            </w:r>
            <w:r w:rsidRPr="00D42201">
              <w:rPr>
                <w:rFonts w:ascii="Times New Roman" w:eastAsia="Times New Roman" w:hAnsi="Times New Roman" w:cs="Times New Roman"/>
                <w:color w:val="000000"/>
                <w:spacing w:val="3"/>
                <w:sz w:val="23"/>
                <w:szCs w:val="23"/>
                <w:lang w:val="en-US"/>
              </w:rPr>
              <w:t>i</w:t>
            </w:r>
            <w:r w:rsidRPr="00D42201">
              <w:rPr>
                <w:rFonts w:ascii="Times New Roman" w:eastAsia="Times New Roman" w:hAnsi="Times New Roman" w:cs="Times New Roman"/>
                <w:color w:val="000000"/>
                <w:sz w:val="23"/>
                <w:szCs w:val="23"/>
                <w:lang w:val="en-US"/>
              </w:rPr>
              <w:t>m</w:t>
            </w:r>
            <w:r w:rsidRPr="00D42201">
              <w:rPr>
                <w:rFonts w:ascii="Times New Roman" w:eastAsia="Times New Roman" w:hAnsi="Times New Roman" w:cs="Times New Roman"/>
                <w:color w:val="000000"/>
                <w:spacing w:val="12"/>
                <w:sz w:val="23"/>
                <w:szCs w:val="23"/>
                <w:lang w:val="en-US"/>
              </w:rPr>
              <w:t xml:space="preserve"> </w:t>
            </w:r>
            <w:r w:rsidRPr="00D42201">
              <w:rPr>
                <w:rFonts w:ascii="Times New Roman" w:eastAsia="Times New Roman" w:hAnsi="Times New Roman" w:cs="Times New Roman"/>
                <w:color w:val="000000"/>
                <w:spacing w:val="8"/>
                <w:sz w:val="23"/>
                <w:szCs w:val="23"/>
                <w:lang w:val="en-US"/>
              </w:rPr>
              <w:t>C</w:t>
            </w:r>
            <w:r w:rsidRPr="00D42201">
              <w:rPr>
                <w:rFonts w:ascii="Times New Roman" w:eastAsia="Times New Roman" w:hAnsi="Times New Roman" w:cs="Times New Roman"/>
                <w:color w:val="000000"/>
                <w:spacing w:val="3"/>
                <w:sz w:val="23"/>
                <w:szCs w:val="23"/>
                <w:lang w:val="en-US"/>
              </w:rPr>
              <w:t>li</w:t>
            </w:r>
            <w:r w:rsidRPr="00D42201">
              <w:rPr>
                <w:rFonts w:ascii="Times New Roman" w:eastAsia="Times New Roman" w:hAnsi="Times New Roman" w:cs="Times New Roman"/>
                <w:color w:val="000000"/>
                <w:spacing w:val="6"/>
                <w:sz w:val="23"/>
                <w:szCs w:val="23"/>
                <w:lang w:val="en-US"/>
              </w:rPr>
              <w:t>n</w:t>
            </w:r>
            <w:r w:rsidRPr="00D42201">
              <w:rPr>
                <w:rFonts w:ascii="Times New Roman" w:eastAsia="Times New Roman" w:hAnsi="Times New Roman" w:cs="Times New Roman"/>
                <w:color w:val="000000"/>
                <w:spacing w:val="3"/>
                <w:sz w:val="23"/>
                <w:szCs w:val="23"/>
                <w:lang w:val="en-US"/>
              </w:rPr>
              <w:t>i</w:t>
            </w:r>
            <w:r w:rsidRPr="00D42201">
              <w:rPr>
                <w:rFonts w:ascii="Times New Roman" w:eastAsia="Times New Roman" w:hAnsi="Times New Roman" w:cs="Times New Roman"/>
                <w:color w:val="000000"/>
                <w:spacing w:val="5"/>
                <w:sz w:val="23"/>
                <w:szCs w:val="23"/>
                <w:lang w:val="en-US"/>
              </w:rPr>
              <w:t>c</w:t>
            </w:r>
            <w:r w:rsidRPr="00D42201">
              <w:rPr>
                <w:rFonts w:ascii="Times New Roman" w:eastAsia="Times New Roman" w:hAnsi="Times New Roman" w:cs="Times New Roman"/>
                <w:color w:val="000000"/>
                <w:spacing w:val="6"/>
                <w:sz w:val="23"/>
                <w:szCs w:val="23"/>
                <w:lang w:val="en-US"/>
              </w:rPr>
              <w:t>a</w:t>
            </w:r>
            <w:r w:rsidRPr="00D42201">
              <w:rPr>
                <w:rFonts w:ascii="Times New Roman" w:eastAsia="Times New Roman" w:hAnsi="Times New Roman" w:cs="Times New Roman"/>
                <w:color w:val="000000"/>
                <w:sz w:val="23"/>
                <w:szCs w:val="23"/>
                <w:lang w:val="en-US"/>
              </w:rPr>
              <w:t>l</w:t>
            </w:r>
            <w:r w:rsidRPr="00D42201">
              <w:rPr>
                <w:rFonts w:ascii="Times New Roman" w:eastAsia="Times New Roman" w:hAnsi="Times New Roman" w:cs="Times New Roman"/>
                <w:color w:val="000000"/>
                <w:spacing w:val="6"/>
                <w:sz w:val="23"/>
                <w:szCs w:val="23"/>
                <w:lang w:val="en-US"/>
              </w:rPr>
              <w:t xml:space="preserve"> </w:t>
            </w:r>
            <w:r w:rsidRPr="00D42201">
              <w:rPr>
                <w:rFonts w:ascii="Times New Roman" w:eastAsia="Times New Roman" w:hAnsi="Times New Roman" w:cs="Times New Roman"/>
                <w:color w:val="000000"/>
                <w:spacing w:val="7"/>
                <w:sz w:val="23"/>
                <w:szCs w:val="23"/>
                <w:lang w:val="en-US"/>
              </w:rPr>
              <w:t>T</w:t>
            </w:r>
            <w:r w:rsidRPr="00D42201">
              <w:rPr>
                <w:rFonts w:ascii="Times New Roman" w:eastAsia="Times New Roman" w:hAnsi="Times New Roman" w:cs="Times New Roman"/>
                <w:color w:val="000000"/>
                <w:spacing w:val="4"/>
                <w:sz w:val="23"/>
                <w:szCs w:val="23"/>
                <w:lang w:val="en-US"/>
              </w:rPr>
              <w:t>r</w:t>
            </w:r>
            <w:r w:rsidRPr="00D42201">
              <w:rPr>
                <w:rFonts w:ascii="Times New Roman" w:eastAsia="Times New Roman" w:hAnsi="Times New Roman" w:cs="Times New Roman"/>
                <w:color w:val="000000"/>
                <w:spacing w:val="3"/>
                <w:sz w:val="23"/>
                <w:szCs w:val="23"/>
                <w:lang w:val="en-US"/>
              </w:rPr>
              <w:t>i</w:t>
            </w:r>
            <w:r w:rsidRPr="00D42201">
              <w:rPr>
                <w:rFonts w:ascii="Times New Roman" w:eastAsia="Times New Roman" w:hAnsi="Times New Roman" w:cs="Times New Roman"/>
                <w:color w:val="000000"/>
                <w:spacing w:val="5"/>
                <w:sz w:val="23"/>
                <w:szCs w:val="23"/>
                <w:lang w:val="en-US"/>
              </w:rPr>
              <w:t>a</w:t>
            </w:r>
            <w:r w:rsidRPr="00D42201">
              <w:rPr>
                <w:rFonts w:ascii="Times New Roman" w:eastAsia="Times New Roman" w:hAnsi="Times New Roman" w:cs="Times New Roman"/>
                <w:color w:val="000000"/>
                <w:spacing w:val="4"/>
                <w:sz w:val="23"/>
                <w:szCs w:val="23"/>
                <w:lang w:val="en-US"/>
              </w:rPr>
              <w:t>l</w:t>
            </w:r>
            <w:r w:rsidRPr="00D42201">
              <w:rPr>
                <w:rFonts w:ascii="Times New Roman" w:eastAsia="Times New Roman" w:hAnsi="Times New Roman" w:cs="Times New Roman"/>
                <w:color w:val="000000"/>
                <w:sz w:val="23"/>
                <w:szCs w:val="23"/>
                <w:lang w:val="en-US"/>
              </w:rPr>
              <w:t>s</w:t>
            </w:r>
            <w:r w:rsidRPr="00D42201">
              <w:rPr>
                <w:rFonts w:ascii="Times New Roman" w:eastAsia="Times New Roman" w:hAnsi="Times New Roman" w:cs="Times New Roman"/>
                <w:color w:val="000000"/>
                <w:spacing w:val="5"/>
                <w:sz w:val="23"/>
                <w:szCs w:val="23"/>
                <w:lang w:val="en-US"/>
              </w:rPr>
              <w:t xml:space="preserve"> </w:t>
            </w:r>
            <w:r w:rsidRPr="00D42201">
              <w:rPr>
                <w:rFonts w:ascii="Times New Roman" w:eastAsia="Times New Roman" w:hAnsi="Times New Roman" w:cs="Times New Roman"/>
                <w:color w:val="000000"/>
                <w:spacing w:val="-4"/>
                <w:sz w:val="23"/>
                <w:szCs w:val="23"/>
                <w:lang w:val="en-US"/>
              </w:rPr>
              <w:t>(</w:t>
            </w:r>
            <w:r w:rsidRPr="00D42201">
              <w:rPr>
                <w:rFonts w:ascii="Times New Roman" w:eastAsia="Times New Roman" w:hAnsi="Times New Roman" w:cs="Times New Roman"/>
                <w:color w:val="000000"/>
                <w:spacing w:val="5"/>
                <w:sz w:val="23"/>
                <w:szCs w:val="23"/>
                <w:lang w:val="en-US"/>
              </w:rPr>
              <w:t>A</w:t>
            </w:r>
            <w:r w:rsidRPr="00D42201">
              <w:rPr>
                <w:rFonts w:ascii="Times New Roman" w:eastAsia="Times New Roman" w:hAnsi="Times New Roman" w:cs="Times New Roman"/>
                <w:color w:val="000000"/>
                <w:spacing w:val="6"/>
                <w:sz w:val="23"/>
                <w:szCs w:val="23"/>
                <w:lang w:val="en-US"/>
              </w:rPr>
              <w:t>C</w:t>
            </w:r>
            <w:r w:rsidRPr="00D42201">
              <w:rPr>
                <w:rFonts w:ascii="Times New Roman" w:eastAsia="Times New Roman" w:hAnsi="Times New Roman" w:cs="Times New Roman"/>
                <w:color w:val="000000"/>
                <w:spacing w:val="4"/>
                <w:sz w:val="23"/>
                <w:szCs w:val="23"/>
                <w:lang w:val="en-US"/>
              </w:rPr>
              <w:t>T</w:t>
            </w:r>
            <w:r w:rsidRPr="00D42201">
              <w:rPr>
                <w:rFonts w:ascii="Times New Roman" w:eastAsia="Times New Roman" w:hAnsi="Times New Roman" w:cs="Times New Roman"/>
                <w:color w:val="000000"/>
                <w:spacing w:val="-4"/>
                <w:sz w:val="23"/>
                <w:szCs w:val="23"/>
                <w:lang w:val="en-US"/>
              </w:rPr>
              <w:t>)</w:t>
            </w:r>
            <w:r w:rsidRPr="00D42201">
              <w:rPr>
                <w:rFonts w:ascii="Times New Roman" w:eastAsia="Times New Roman" w:hAnsi="Times New Roman" w:cs="Times New Roman"/>
                <w:color w:val="000000"/>
                <w:sz w:val="23"/>
                <w:szCs w:val="23"/>
                <w:lang w:val="en-US"/>
              </w:rPr>
              <w:t xml:space="preserve">, </w:t>
            </w:r>
            <w:r w:rsidRPr="00D42201">
              <w:rPr>
                <w:rFonts w:ascii="Times New Roman" w:eastAsia="Times New Roman" w:hAnsi="Times New Roman" w:cs="Times New Roman"/>
                <w:color w:val="000000"/>
                <w:spacing w:val="4"/>
                <w:sz w:val="23"/>
                <w:szCs w:val="23"/>
                <w:lang w:val="en-US"/>
              </w:rPr>
              <w:t>LLC</w:t>
            </w:r>
            <w:r w:rsidRPr="00D42201">
              <w:rPr>
                <w:rFonts w:ascii="Times New Roman" w:eastAsia="Times New Roman" w:hAnsi="Times New Roman" w:cs="Times New Roman"/>
                <w:color w:val="000000"/>
                <w:sz w:val="23"/>
                <w:szCs w:val="23"/>
                <w:lang w:val="en-US"/>
              </w:rPr>
              <w:t xml:space="preserve">, </w:t>
            </w:r>
            <w:r w:rsidRPr="00D42201">
              <w:rPr>
                <w:rFonts w:ascii="Times New Roman" w:eastAsia="Times New Roman" w:hAnsi="Times New Roman" w:cs="Times New Roman"/>
                <w:color w:val="000000"/>
                <w:spacing w:val="1"/>
                <w:sz w:val="23"/>
                <w:szCs w:val="23"/>
                <w:lang w:val="en-US"/>
              </w:rPr>
              <w:t>1</w:t>
            </w:r>
            <w:r w:rsidRPr="00D42201">
              <w:rPr>
                <w:rFonts w:ascii="Times New Roman" w:eastAsia="Times New Roman" w:hAnsi="Times New Roman" w:cs="Times New Roman"/>
                <w:color w:val="000000"/>
                <w:sz w:val="23"/>
                <w:szCs w:val="23"/>
                <w:lang w:val="en-US"/>
              </w:rPr>
              <w:t xml:space="preserve">085 </w:t>
            </w:r>
            <w:r w:rsidRPr="00D42201">
              <w:rPr>
                <w:rFonts w:ascii="Times New Roman" w:eastAsia="Times New Roman" w:hAnsi="Times New Roman" w:cs="Times New Roman"/>
                <w:color w:val="000000"/>
                <w:spacing w:val="7"/>
                <w:sz w:val="23"/>
                <w:szCs w:val="23"/>
                <w:lang w:val="en-US"/>
              </w:rPr>
              <w:t>N</w:t>
            </w:r>
            <w:r w:rsidRPr="00D42201">
              <w:rPr>
                <w:rFonts w:ascii="Times New Roman" w:eastAsia="Times New Roman" w:hAnsi="Times New Roman" w:cs="Times New Roman"/>
                <w:color w:val="000000"/>
                <w:sz w:val="23"/>
                <w:szCs w:val="23"/>
                <w:lang w:val="en-US"/>
              </w:rPr>
              <w:t>. Ha</w:t>
            </w:r>
            <w:r w:rsidRPr="00D42201">
              <w:rPr>
                <w:rFonts w:ascii="Times New Roman" w:eastAsia="Times New Roman" w:hAnsi="Times New Roman" w:cs="Times New Roman"/>
                <w:color w:val="000000"/>
                <w:spacing w:val="-1"/>
                <w:sz w:val="23"/>
                <w:szCs w:val="23"/>
                <w:lang w:val="en-US"/>
              </w:rPr>
              <w:t>r</w:t>
            </w:r>
            <w:r w:rsidRPr="00D42201">
              <w:rPr>
                <w:rFonts w:ascii="Times New Roman" w:eastAsia="Times New Roman" w:hAnsi="Times New Roman" w:cs="Times New Roman"/>
                <w:color w:val="000000"/>
                <w:sz w:val="23"/>
                <w:szCs w:val="23"/>
                <w:lang w:val="en-US"/>
              </w:rPr>
              <w:t>bor</w:t>
            </w:r>
            <w:r w:rsidRPr="00D42201">
              <w:rPr>
                <w:rFonts w:ascii="Times New Roman" w:eastAsia="Times New Roman" w:hAnsi="Times New Roman" w:cs="Times New Roman"/>
                <w:color w:val="000000"/>
                <w:spacing w:val="1"/>
                <w:sz w:val="23"/>
                <w:szCs w:val="23"/>
                <w:lang w:val="en-US"/>
              </w:rPr>
              <w:t xml:space="preserve"> </w:t>
            </w:r>
            <w:r w:rsidRPr="00D42201">
              <w:rPr>
                <w:rFonts w:ascii="Times New Roman" w:eastAsia="Times New Roman" w:hAnsi="Times New Roman" w:cs="Times New Roman"/>
                <w:color w:val="000000"/>
                <w:spacing w:val="6"/>
                <w:sz w:val="23"/>
                <w:szCs w:val="23"/>
                <w:lang w:val="en-US"/>
              </w:rPr>
              <w:t>B</w:t>
            </w:r>
            <w:r w:rsidRPr="00D42201">
              <w:rPr>
                <w:rFonts w:ascii="Times New Roman" w:eastAsia="Times New Roman" w:hAnsi="Times New Roman" w:cs="Times New Roman"/>
                <w:color w:val="000000"/>
                <w:spacing w:val="4"/>
                <w:sz w:val="23"/>
                <w:szCs w:val="23"/>
                <w:lang w:val="en-US"/>
              </w:rPr>
              <w:t>ou</w:t>
            </w:r>
            <w:r w:rsidRPr="00D42201">
              <w:rPr>
                <w:rFonts w:ascii="Times New Roman" w:eastAsia="Times New Roman" w:hAnsi="Times New Roman" w:cs="Times New Roman"/>
                <w:color w:val="000000"/>
                <w:spacing w:val="3"/>
                <w:sz w:val="23"/>
                <w:szCs w:val="23"/>
                <w:lang w:val="en-US"/>
              </w:rPr>
              <w:t>l</w:t>
            </w:r>
            <w:r w:rsidRPr="00D42201">
              <w:rPr>
                <w:rFonts w:ascii="Times New Roman" w:eastAsia="Times New Roman" w:hAnsi="Times New Roman" w:cs="Times New Roman"/>
                <w:color w:val="000000"/>
                <w:spacing w:val="4"/>
                <w:sz w:val="23"/>
                <w:szCs w:val="23"/>
                <w:lang w:val="en-US"/>
              </w:rPr>
              <w:t>e</w:t>
            </w:r>
            <w:r w:rsidRPr="00D42201">
              <w:rPr>
                <w:rFonts w:ascii="Times New Roman" w:eastAsia="Times New Roman" w:hAnsi="Times New Roman" w:cs="Times New Roman"/>
                <w:color w:val="000000"/>
                <w:spacing w:val="5"/>
                <w:sz w:val="23"/>
                <w:szCs w:val="23"/>
                <w:lang w:val="en-US"/>
              </w:rPr>
              <w:t>v</w:t>
            </w:r>
            <w:r w:rsidRPr="00D42201">
              <w:rPr>
                <w:rFonts w:ascii="Times New Roman" w:eastAsia="Times New Roman" w:hAnsi="Times New Roman" w:cs="Times New Roman"/>
                <w:color w:val="000000"/>
                <w:spacing w:val="4"/>
                <w:sz w:val="23"/>
                <w:szCs w:val="23"/>
                <w:lang w:val="en-US"/>
              </w:rPr>
              <w:t>a</w:t>
            </w:r>
            <w:r w:rsidRPr="00D42201">
              <w:rPr>
                <w:rFonts w:ascii="Times New Roman" w:eastAsia="Times New Roman" w:hAnsi="Times New Roman" w:cs="Times New Roman"/>
                <w:color w:val="000000"/>
                <w:spacing w:val="3"/>
                <w:sz w:val="23"/>
                <w:szCs w:val="23"/>
                <w:lang w:val="en-US"/>
              </w:rPr>
              <w:t>rd</w:t>
            </w:r>
            <w:r w:rsidRPr="00D42201">
              <w:rPr>
                <w:rFonts w:ascii="Times New Roman" w:eastAsia="Times New Roman" w:hAnsi="Times New Roman" w:cs="Times New Roman"/>
                <w:color w:val="000000"/>
                <w:sz w:val="23"/>
                <w:szCs w:val="23"/>
                <w:lang w:val="en-US"/>
              </w:rPr>
              <w:t xml:space="preserve">, </w:t>
            </w:r>
            <w:r w:rsidRPr="00D42201">
              <w:rPr>
                <w:rFonts w:ascii="Times New Roman" w:eastAsia="Times New Roman" w:hAnsi="Times New Roman" w:cs="Times New Roman"/>
                <w:color w:val="000000"/>
                <w:spacing w:val="10"/>
                <w:sz w:val="23"/>
                <w:szCs w:val="23"/>
                <w:lang w:val="en-US"/>
              </w:rPr>
              <w:t>A</w:t>
            </w:r>
            <w:r w:rsidRPr="00D42201">
              <w:rPr>
                <w:rFonts w:ascii="Times New Roman" w:eastAsia="Times New Roman" w:hAnsi="Times New Roman" w:cs="Times New Roman"/>
                <w:color w:val="000000"/>
                <w:spacing w:val="7"/>
                <w:sz w:val="23"/>
                <w:szCs w:val="23"/>
                <w:lang w:val="en-US"/>
              </w:rPr>
              <w:t>n</w:t>
            </w:r>
            <w:r w:rsidRPr="00D42201">
              <w:rPr>
                <w:rFonts w:ascii="Times New Roman" w:eastAsia="Times New Roman" w:hAnsi="Times New Roman" w:cs="Times New Roman"/>
                <w:color w:val="000000"/>
                <w:spacing w:val="6"/>
                <w:sz w:val="23"/>
                <w:szCs w:val="23"/>
                <w:lang w:val="en-US"/>
              </w:rPr>
              <w:t>a</w:t>
            </w:r>
            <w:r w:rsidRPr="00D42201">
              <w:rPr>
                <w:rFonts w:ascii="Times New Roman" w:eastAsia="Times New Roman" w:hAnsi="Times New Roman" w:cs="Times New Roman"/>
                <w:color w:val="000000"/>
                <w:spacing w:val="8"/>
                <w:sz w:val="23"/>
                <w:szCs w:val="23"/>
                <w:lang w:val="en-US"/>
              </w:rPr>
              <w:t>h</w:t>
            </w:r>
            <w:r w:rsidRPr="00D42201">
              <w:rPr>
                <w:rFonts w:ascii="Times New Roman" w:eastAsia="Times New Roman" w:hAnsi="Times New Roman" w:cs="Times New Roman"/>
                <w:color w:val="000000"/>
                <w:spacing w:val="6"/>
                <w:sz w:val="23"/>
                <w:szCs w:val="23"/>
                <w:lang w:val="en-US"/>
              </w:rPr>
              <w:t>e</w:t>
            </w:r>
            <w:r w:rsidRPr="00D42201">
              <w:rPr>
                <w:rFonts w:ascii="Times New Roman" w:eastAsia="Times New Roman" w:hAnsi="Times New Roman" w:cs="Times New Roman"/>
                <w:color w:val="000000"/>
                <w:spacing w:val="4"/>
                <w:sz w:val="23"/>
                <w:szCs w:val="23"/>
                <w:lang w:val="en-US"/>
              </w:rPr>
              <w:t>i</w:t>
            </w:r>
            <w:r w:rsidRPr="00D42201">
              <w:rPr>
                <w:rFonts w:ascii="Times New Roman" w:eastAsia="Times New Roman" w:hAnsi="Times New Roman" w:cs="Times New Roman"/>
                <w:color w:val="000000"/>
                <w:spacing w:val="10"/>
                <w:sz w:val="23"/>
                <w:szCs w:val="23"/>
                <w:lang w:val="en-US"/>
              </w:rPr>
              <w:t>m</w:t>
            </w:r>
            <w:r w:rsidRPr="00D42201">
              <w:rPr>
                <w:rFonts w:ascii="Times New Roman" w:eastAsia="Times New Roman" w:hAnsi="Times New Roman" w:cs="Times New Roman"/>
                <w:color w:val="000000"/>
                <w:sz w:val="23"/>
                <w:szCs w:val="23"/>
                <w:lang w:val="en-US"/>
              </w:rPr>
              <w:t xml:space="preserve">, </w:t>
            </w:r>
            <w:r w:rsidRPr="00D42201">
              <w:rPr>
                <w:rFonts w:ascii="Times New Roman" w:eastAsia="Times New Roman" w:hAnsi="Times New Roman" w:cs="Times New Roman"/>
                <w:color w:val="000000"/>
                <w:spacing w:val="5"/>
                <w:sz w:val="23"/>
                <w:szCs w:val="23"/>
                <w:lang w:val="en-US"/>
              </w:rPr>
              <w:t>C</w:t>
            </w:r>
            <w:r w:rsidRPr="00D42201">
              <w:rPr>
                <w:rFonts w:ascii="Times New Roman" w:eastAsia="Times New Roman" w:hAnsi="Times New Roman" w:cs="Times New Roman"/>
                <w:color w:val="000000"/>
                <w:sz w:val="23"/>
                <w:szCs w:val="23"/>
                <w:lang w:val="en-US"/>
              </w:rPr>
              <w:t>A</w:t>
            </w:r>
            <w:r w:rsidRPr="00D42201">
              <w:rPr>
                <w:rFonts w:ascii="Times New Roman" w:eastAsia="Times New Roman" w:hAnsi="Times New Roman" w:cs="Times New Roman"/>
                <w:color w:val="000000"/>
                <w:spacing w:val="7"/>
                <w:sz w:val="23"/>
                <w:szCs w:val="23"/>
                <w:lang w:val="en-US"/>
              </w:rPr>
              <w:t xml:space="preserve"> </w:t>
            </w:r>
            <w:r w:rsidRPr="00D42201">
              <w:rPr>
                <w:rFonts w:ascii="Times New Roman" w:eastAsia="Times New Roman" w:hAnsi="Times New Roman" w:cs="Times New Roman"/>
                <w:color w:val="000000"/>
                <w:sz w:val="23"/>
                <w:szCs w:val="23"/>
                <w:lang w:val="en-US"/>
              </w:rPr>
              <w:t>9</w:t>
            </w:r>
            <w:r w:rsidRPr="00D42201">
              <w:rPr>
                <w:rFonts w:ascii="Times New Roman" w:eastAsia="Times New Roman" w:hAnsi="Times New Roman" w:cs="Times New Roman"/>
                <w:color w:val="000000"/>
                <w:spacing w:val="1"/>
                <w:sz w:val="23"/>
                <w:szCs w:val="23"/>
                <w:lang w:val="en-US"/>
              </w:rPr>
              <w:t>2</w:t>
            </w:r>
            <w:r w:rsidRPr="00D42201">
              <w:rPr>
                <w:rFonts w:ascii="Times New Roman" w:eastAsia="Times New Roman" w:hAnsi="Times New Roman" w:cs="Times New Roman"/>
                <w:color w:val="000000"/>
                <w:sz w:val="23"/>
                <w:szCs w:val="23"/>
                <w:lang w:val="en-US"/>
              </w:rPr>
              <w:t xml:space="preserve">801, </w:t>
            </w:r>
            <w:r w:rsidRPr="00D42201">
              <w:rPr>
                <w:rFonts w:ascii="Times New Roman" w:eastAsia="Times New Roman" w:hAnsi="Times New Roman" w:cs="Times New Roman"/>
                <w:color w:val="000000"/>
                <w:spacing w:val="6"/>
                <w:sz w:val="23"/>
                <w:szCs w:val="23"/>
                <w:lang w:val="en-US"/>
              </w:rPr>
              <w:t>U</w:t>
            </w:r>
            <w:r w:rsidRPr="00D42201">
              <w:rPr>
                <w:rFonts w:ascii="Times New Roman" w:eastAsia="Times New Roman" w:hAnsi="Times New Roman" w:cs="Times New Roman"/>
                <w:color w:val="000000"/>
                <w:spacing w:val="4"/>
                <w:sz w:val="23"/>
                <w:szCs w:val="23"/>
                <w:lang w:val="en-US"/>
              </w:rPr>
              <w:t>S</w:t>
            </w:r>
            <w:r w:rsidRPr="00D42201">
              <w:rPr>
                <w:rFonts w:ascii="Times New Roman" w:eastAsia="Times New Roman" w:hAnsi="Times New Roman" w:cs="Times New Roman"/>
                <w:color w:val="000000"/>
                <w:spacing w:val="6"/>
                <w:sz w:val="23"/>
                <w:szCs w:val="23"/>
                <w:lang w:val="en-US"/>
              </w:rPr>
              <w:t>A</w:t>
            </w:r>
            <w:r w:rsidRPr="00D42201">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pacing w:val="2"/>
                <w:sz w:val="23"/>
                <w:szCs w:val="23"/>
              </w:rPr>
              <w:t>Зерттеу</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параллельді</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топтағы</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екі</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топпен</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қосарланған</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соқыр</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зерттеу</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болды</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Барлығы</w:t>
            </w:r>
            <w:r w:rsidRPr="007A2B57">
              <w:rPr>
                <w:rFonts w:ascii="Times New Roman" w:eastAsia="Times New Roman" w:hAnsi="Times New Roman" w:cs="Times New Roman"/>
                <w:color w:val="000000"/>
                <w:spacing w:val="2"/>
                <w:sz w:val="23"/>
                <w:szCs w:val="23"/>
                <w:lang w:val="en-US"/>
              </w:rPr>
              <w:t xml:space="preserve"> 18-</w:t>
            </w:r>
            <w:r w:rsidRPr="007A2B57">
              <w:rPr>
                <w:rFonts w:ascii="Times New Roman" w:eastAsia="Times New Roman" w:hAnsi="Times New Roman" w:cs="Times New Roman"/>
                <w:color w:val="000000"/>
                <w:spacing w:val="2"/>
                <w:sz w:val="23"/>
                <w:szCs w:val="23"/>
              </w:rPr>
              <w:t>ден</w:t>
            </w:r>
            <w:r w:rsidRPr="007A2B57">
              <w:rPr>
                <w:rFonts w:ascii="Times New Roman" w:eastAsia="Times New Roman" w:hAnsi="Times New Roman" w:cs="Times New Roman"/>
                <w:color w:val="000000"/>
                <w:spacing w:val="2"/>
                <w:sz w:val="23"/>
                <w:szCs w:val="23"/>
                <w:lang w:val="en-US"/>
              </w:rPr>
              <w:t xml:space="preserve"> 55 </w:t>
            </w:r>
            <w:r w:rsidRPr="007A2B57">
              <w:rPr>
                <w:rFonts w:ascii="Times New Roman" w:eastAsia="Times New Roman" w:hAnsi="Times New Roman" w:cs="Times New Roman"/>
                <w:color w:val="000000"/>
                <w:spacing w:val="2"/>
                <w:sz w:val="23"/>
                <w:szCs w:val="23"/>
              </w:rPr>
              <w:t>жасқа</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дейінгі</w:t>
            </w:r>
            <w:r w:rsidRPr="007A2B57">
              <w:rPr>
                <w:rFonts w:ascii="Times New Roman" w:eastAsia="Times New Roman" w:hAnsi="Times New Roman" w:cs="Times New Roman"/>
                <w:color w:val="000000"/>
                <w:spacing w:val="2"/>
                <w:sz w:val="23"/>
                <w:szCs w:val="23"/>
                <w:lang w:val="en-US"/>
              </w:rPr>
              <w:t xml:space="preserve"> 70 </w:t>
            </w:r>
            <w:r w:rsidRPr="007A2B57">
              <w:rPr>
                <w:rFonts w:ascii="Times New Roman" w:eastAsia="Times New Roman" w:hAnsi="Times New Roman" w:cs="Times New Roman"/>
                <w:color w:val="000000"/>
                <w:spacing w:val="2"/>
                <w:sz w:val="23"/>
                <w:szCs w:val="23"/>
              </w:rPr>
              <w:t>дені</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сау</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ер</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адам</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тіркелген</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Әрбір</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топта</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барлық</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субъектілер</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СТ</w:t>
            </w:r>
            <w:r w:rsidRPr="007A2B57">
              <w:rPr>
                <w:rFonts w:ascii="Times New Roman" w:eastAsia="Times New Roman" w:hAnsi="Times New Roman" w:cs="Times New Roman"/>
                <w:color w:val="000000"/>
                <w:spacing w:val="2"/>
                <w:sz w:val="23"/>
                <w:szCs w:val="23"/>
                <w:lang w:val="en-US"/>
              </w:rPr>
              <w:t>-</w:t>
            </w:r>
            <w:r w:rsidRPr="007A2B57">
              <w:rPr>
                <w:rFonts w:ascii="Times New Roman" w:eastAsia="Times New Roman" w:hAnsi="Times New Roman" w:cs="Times New Roman"/>
                <w:color w:val="000000"/>
                <w:spacing w:val="2"/>
                <w:sz w:val="23"/>
                <w:szCs w:val="23"/>
              </w:rPr>
              <w:t>Р</w:t>
            </w:r>
            <w:r w:rsidRPr="007A2B57">
              <w:rPr>
                <w:rFonts w:ascii="Times New Roman" w:eastAsia="Times New Roman" w:hAnsi="Times New Roman" w:cs="Times New Roman"/>
                <w:color w:val="000000"/>
                <w:spacing w:val="2"/>
                <w:sz w:val="23"/>
                <w:szCs w:val="23"/>
                <w:lang w:val="en-US"/>
              </w:rPr>
              <w:t xml:space="preserve">6 </w:t>
            </w:r>
            <w:r w:rsidRPr="007A2B57">
              <w:rPr>
                <w:rFonts w:ascii="Times New Roman" w:eastAsia="Times New Roman" w:hAnsi="Times New Roman" w:cs="Times New Roman"/>
                <w:color w:val="000000"/>
                <w:spacing w:val="2"/>
                <w:sz w:val="23"/>
                <w:szCs w:val="23"/>
              </w:rPr>
              <w:t>бір</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реттік</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дозасын</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және</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күніне</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бір</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рет</w:t>
            </w:r>
            <w:r w:rsidRPr="007A2B57">
              <w:rPr>
                <w:rFonts w:ascii="Times New Roman" w:eastAsia="Times New Roman" w:hAnsi="Times New Roman" w:cs="Times New Roman"/>
                <w:color w:val="000000"/>
                <w:spacing w:val="2"/>
                <w:sz w:val="23"/>
                <w:szCs w:val="23"/>
                <w:lang w:val="en-US"/>
              </w:rPr>
              <w:t xml:space="preserve"> 90 </w:t>
            </w:r>
            <w:r w:rsidRPr="007A2B57">
              <w:rPr>
                <w:rFonts w:ascii="Times New Roman" w:eastAsia="Times New Roman" w:hAnsi="Times New Roman" w:cs="Times New Roman"/>
                <w:color w:val="000000"/>
                <w:spacing w:val="2"/>
                <w:sz w:val="23"/>
                <w:szCs w:val="23"/>
              </w:rPr>
              <w:t>минут</w:t>
            </w:r>
            <w:r w:rsidRPr="007A2B57">
              <w:rPr>
                <w:rFonts w:ascii="Times New Roman" w:eastAsia="Times New Roman" w:hAnsi="Times New Roman" w:cs="Times New Roman"/>
                <w:color w:val="000000"/>
                <w:spacing w:val="2"/>
                <w:sz w:val="23"/>
                <w:szCs w:val="23"/>
                <w:lang w:val="en-US"/>
              </w:rPr>
              <w:t xml:space="preserve"> (±5 </w:t>
            </w:r>
            <w:r w:rsidRPr="007A2B57">
              <w:rPr>
                <w:rFonts w:ascii="Times New Roman" w:eastAsia="Times New Roman" w:hAnsi="Times New Roman" w:cs="Times New Roman"/>
                <w:color w:val="000000"/>
                <w:spacing w:val="2"/>
                <w:sz w:val="23"/>
                <w:szCs w:val="23"/>
              </w:rPr>
              <w:t>минут</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ішінде</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көктамырішілік</w:t>
            </w:r>
            <w:r w:rsidRPr="007A2B57">
              <w:rPr>
                <w:rFonts w:ascii="Times New Roman" w:eastAsia="Times New Roman" w:hAnsi="Times New Roman" w:cs="Times New Roman"/>
                <w:color w:val="000000"/>
                <w:spacing w:val="2"/>
                <w:sz w:val="23"/>
                <w:szCs w:val="23"/>
                <w:lang w:val="en-US"/>
              </w:rPr>
              <w:t xml:space="preserve"> (IV) </w:t>
            </w:r>
            <w:r w:rsidRPr="007A2B57">
              <w:rPr>
                <w:rFonts w:ascii="Times New Roman" w:eastAsia="Times New Roman" w:hAnsi="Times New Roman" w:cs="Times New Roman"/>
                <w:color w:val="000000"/>
                <w:spacing w:val="2"/>
                <w:sz w:val="23"/>
                <w:szCs w:val="23"/>
              </w:rPr>
              <w:t>инфузия</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жолымен</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АҚШ</w:t>
            </w:r>
            <w:r w:rsidRPr="007A2B57">
              <w:rPr>
                <w:rFonts w:ascii="Times New Roman" w:eastAsia="Times New Roman" w:hAnsi="Times New Roman" w:cs="Times New Roman"/>
                <w:color w:val="000000"/>
                <w:spacing w:val="2"/>
                <w:sz w:val="23"/>
                <w:szCs w:val="23"/>
                <w:lang w:val="en-US"/>
              </w:rPr>
              <w:t>-</w:t>
            </w:r>
            <w:r w:rsidRPr="007A2B57">
              <w:rPr>
                <w:rFonts w:ascii="Times New Roman" w:eastAsia="Times New Roman" w:hAnsi="Times New Roman" w:cs="Times New Roman"/>
                <w:color w:val="000000"/>
                <w:spacing w:val="2"/>
                <w:sz w:val="23"/>
                <w:szCs w:val="23"/>
              </w:rPr>
              <w:t>та</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лицензияланған</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герцептинді</w:t>
            </w:r>
            <w:r w:rsidRPr="007A2B57">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алды</w:t>
            </w:r>
            <w:r w:rsidRPr="007A2B57">
              <w:rPr>
                <w:rFonts w:ascii="Times New Roman" w:eastAsia="Times New Roman" w:hAnsi="Times New Roman" w:cs="Times New Roman"/>
                <w:color w:val="000000"/>
                <w:spacing w:val="2"/>
                <w:sz w:val="23"/>
                <w:szCs w:val="23"/>
                <w:lang w:val="en-US"/>
              </w:rPr>
              <w:t>.</w:t>
            </w:r>
          </w:p>
        </w:tc>
      </w:tr>
      <w:tr w:rsidR="00F44E5C" w:rsidRPr="003D4F6B" w:rsidTr="00BE799C">
        <w:tc>
          <w:tcPr>
            <w:tcW w:w="1413" w:type="dxa"/>
          </w:tcPr>
          <w:p w:rsidR="00F44E5C" w:rsidRPr="00F7450F" w:rsidRDefault="00F44E5C" w:rsidP="00BE799C">
            <w:r>
              <w:rPr>
                <w:lang w:val="en-US"/>
              </w:rPr>
              <w:t>2</w:t>
            </w:r>
            <w:r>
              <w:t>.4</w:t>
            </w:r>
          </w:p>
        </w:tc>
        <w:tc>
          <w:tcPr>
            <w:tcW w:w="2551" w:type="dxa"/>
          </w:tcPr>
          <w:p w:rsidR="00F44E5C" w:rsidRPr="00F7450F" w:rsidRDefault="00F44E5C" w:rsidP="00BE799C">
            <w:pPr>
              <w:rPr>
                <w:lang w:val="en-US"/>
              </w:rPr>
            </w:pPr>
            <w:r>
              <w:rPr>
                <w:rFonts w:ascii="Times New Roman" w:eastAsia="Times New Roman" w:hAnsi="Times New Roman" w:cs="Times New Roman"/>
                <w:color w:val="000000"/>
                <w:spacing w:val="2"/>
                <w:sz w:val="23"/>
                <w:szCs w:val="23"/>
                <w:lang w:val="kk-KZ"/>
              </w:rPr>
              <w:t>Пайда-қауіпті бағалау</w:t>
            </w:r>
          </w:p>
        </w:tc>
        <w:tc>
          <w:tcPr>
            <w:tcW w:w="5381" w:type="dxa"/>
          </w:tcPr>
          <w:p w:rsidR="00F44E5C" w:rsidRPr="00F7450F" w:rsidRDefault="00F44E5C" w:rsidP="00BE799C">
            <w:pPr>
              <w:spacing w:after="12" w:line="200" w:lineRule="exact"/>
              <w:jc w:val="both"/>
              <w:rPr>
                <w:rFonts w:ascii="Times New Roman" w:eastAsia="Times New Roman" w:hAnsi="Times New Roman" w:cs="Times New Roman"/>
                <w:color w:val="000000"/>
                <w:sz w:val="23"/>
                <w:szCs w:val="23"/>
                <w:lang w:val="en-US"/>
              </w:rPr>
            </w:pPr>
            <w:r w:rsidRPr="007A2B57">
              <w:rPr>
                <w:rFonts w:ascii="Times New Roman" w:eastAsia="Times New Roman" w:hAnsi="Times New Roman" w:cs="Times New Roman"/>
                <w:color w:val="000000"/>
                <w:sz w:val="23"/>
                <w:szCs w:val="23"/>
              </w:rPr>
              <w:t>Биологиялық</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препараттарды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бақылау</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мүмкіндігін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жақсарту</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мақсатында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Герзума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препаратының</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саудалық</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атауы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пациенттің</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картасына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нақты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жазылуы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тиіс</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Басқа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биологиялық</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дәрілік</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затқа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ауыстыру</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препаратты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тағайындаған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дәрігердің</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келісімін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талап</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етеді</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Осы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қолдану</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жөніндегі</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нұсқаулықтағы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мәліметтер</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тек</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Герзума</w:t>
            </w:r>
            <w:r w:rsidRPr="00F7450F">
              <w:rPr>
                <w:rFonts w:ascii="Times New Roman" w:eastAsia="Times New Roman" w:hAnsi="Times New Roman" w:cs="Times New Roman"/>
                <w:color w:val="000000"/>
                <w:sz w:val="23"/>
                <w:szCs w:val="23"/>
                <w:lang w:val="en-US"/>
              </w:rPr>
              <w:t>®</w:t>
            </w:r>
            <w:r w:rsidRPr="007A2B57">
              <w:rPr>
                <w:rFonts w:ascii="Times New Roman" w:eastAsia="Times New Roman" w:hAnsi="Times New Roman" w:cs="Times New Roman"/>
                <w:color w:val="000000"/>
                <w:sz w:val="23"/>
                <w:szCs w:val="23"/>
              </w:rPr>
              <w:t>препаратына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ғана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қатысты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болады</w:t>
            </w:r>
            <w:r w:rsidRPr="00F7450F">
              <w:rPr>
                <w:rFonts w:ascii="Times New Roman" w:eastAsia="Times New Roman" w:hAnsi="Times New Roman" w:cs="Times New Roman"/>
                <w:color w:val="000000"/>
                <w:sz w:val="23"/>
                <w:szCs w:val="23"/>
                <w:lang w:val="en-US"/>
              </w:rPr>
              <w:t>.</w:t>
            </w:r>
          </w:p>
          <w:p w:rsidR="00F44E5C" w:rsidRPr="00F7450F" w:rsidRDefault="00F44E5C" w:rsidP="00BE799C">
            <w:pPr>
              <w:spacing w:after="12" w:line="200" w:lineRule="exact"/>
              <w:jc w:val="both"/>
              <w:rPr>
                <w:rFonts w:ascii="Times New Roman" w:eastAsia="Times New Roman" w:hAnsi="Times New Roman" w:cs="Times New Roman"/>
                <w:sz w:val="20"/>
                <w:szCs w:val="20"/>
                <w:lang w:val="en-US"/>
              </w:rPr>
            </w:pPr>
          </w:p>
          <w:p w:rsidR="00F44E5C" w:rsidRPr="00F7450F" w:rsidRDefault="00F44E5C" w:rsidP="00BE799C">
            <w:pPr>
              <w:widowControl w:val="0"/>
              <w:tabs>
                <w:tab w:val="left" w:pos="1508"/>
                <w:tab w:val="left" w:pos="2261"/>
                <w:tab w:val="left" w:pos="2892"/>
                <w:tab w:val="left" w:pos="4214"/>
                <w:tab w:val="left" w:pos="5850"/>
              </w:tabs>
              <w:ind w:left="60" w:right="25"/>
              <w:jc w:val="both"/>
              <w:rPr>
                <w:rFonts w:ascii="Times New Roman" w:eastAsia="Times New Roman" w:hAnsi="Times New Roman" w:cs="Times New Roman"/>
                <w:color w:val="000000"/>
                <w:spacing w:val="2"/>
                <w:sz w:val="23"/>
                <w:szCs w:val="23"/>
                <w:lang w:val="en-US"/>
              </w:rPr>
            </w:pPr>
            <w:proofErr w:type="gramStart"/>
            <w:r w:rsidRPr="00F7450F">
              <w:rPr>
                <w:rFonts w:ascii="Times New Roman" w:eastAsia="Times New Roman" w:hAnsi="Times New Roman" w:cs="Times New Roman"/>
                <w:color w:val="000000"/>
                <w:spacing w:val="2"/>
                <w:sz w:val="23"/>
                <w:szCs w:val="23"/>
                <w:lang w:val="en-US"/>
              </w:rPr>
              <w:t xml:space="preserve">150 </w:t>
            </w:r>
            <w:r w:rsidRPr="007A2B57">
              <w:rPr>
                <w:rFonts w:ascii="Times New Roman" w:eastAsia="Times New Roman" w:hAnsi="Times New Roman" w:cs="Times New Roman"/>
                <w:color w:val="000000"/>
                <w:spacing w:val="2"/>
                <w:sz w:val="23"/>
                <w:szCs w:val="23"/>
              </w:rPr>
              <w:t>мг</w:t>
            </w:r>
            <w:proofErr w:type="gramEnd"/>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бір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реттік</w:t>
            </w:r>
            <w:r w:rsidRPr="00F7450F">
              <w:rPr>
                <w:rFonts w:ascii="Times New Roman" w:eastAsia="Times New Roman" w:hAnsi="Times New Roman" w:cs="Times New Roman"/>
                <w:color w:val="000000"/>
                <w:spacing w:val="2"/>
                <w:sz w:val="23"/>
                <w:szCs w:val="23"/>
                <w:lang w:val="en-US"/>
              </w:rPr>
              <w:t xml:space="preserve"> </w:t>
            </w:r>
            <w:r>
              <w:rPr>
                <w:rFonts w:ascii="Times New Roman" w:eastAsia="Times New Roman" w:hAnsi="Times New Roman" w:cs="Times New Roman"/>
                <w:color w:val="000000"/>
                <w:spacing w:val="2"/>
                <w:sz w:val="23"/>
                <w:szCs w:val="23"/>
                <w:lang w:val="kk-KZ"/>
              </w:rPr>
              <w:t>қ</w:t>
            </w:r>
            <w:r w:rsidRPr="007A2B57">
              <w:rPr>
                <w:rFonts w:ascii="Times New Roman" w:eastAsia="Times New Roman" w:hAnsi="Times New Roman" w:cs="Times New Roman"/>
                <w:color w:val="000000"/>
                <w:spacing w:val="2"/>
                <w:sz w:val="23"/>
                <w:szCs w:val="23"/>
              </w:rPr>
              <w:t>ұтылар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ерітіндісін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қалпына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келтіру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үшін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пайдаланылатын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инъекцияға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арналған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стерильді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құрамында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бензил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спирті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жоқ</w:t>
            </w:r>
            <w:r w:rsidRPr="00F7450F">
              <w:rPr>
                <w:rFonts w:ascii="Times New Roman" w:eastAsia="Times New Roman" w:hAnsi="Times New Roman" w:cs="Times New Roman"/>
                <w:color w:val="000000"/>
                <w:spacing w:val="2"/>
                <w:sz w:val="23"/>
                <w:szCs w:val="23"/>
                <w:lang w:val="en-US"/>
              </w:rPr>
              <w:t>.</w:t>
            </w:r>
          </w:p>
          <w:p w:rsidR="00F44E5C" w:rsidRPr="00F7450F" w:rsidRDefault="00F44E5C" w:rsidP="00BE799C">
            <w:pPr>
              <w:widowControl w:val="0"/>
              <w:tabs>
                <w:tab w:val="left" w:pos="1508"/>
                <w:tab w:val="left" w:pos="2261"/>
                <w:tab w:val="left" w:pos="2892"/>
                <w:tab w:val="left" w:pos="4214"/>
                <w:tab w:val="left" w:pos="5850"/>
              </w:tabs>
              <w:ind w:left="60" w:right="25"/>
              <w:jc w:val="both"/>
              <w:rPr>
                <w:rFonts w:ascii="Times New Roman" w:eastAsia="Times New Roman" w:hAnsi="Times New Roman" w:cs="Times New Roman"/>
                <w:color w:val="000000"/>
                <w:spacing w:val="2"/>
                <w:sz w:val="23"/>
                <w:szCs w:val="23"/>
                <w:lang w:val="en-US"/>
              </w:rPr>
            </w:pPr>
          </w:p>
          <w:p w:rsidR="00F44E5C" w:rsidRPr="00F7450F" w:rsidRDefault="00F44E5C" w:rsidP="00BE799C">
            <w:pPr>
              <w:widowControl w:val="0"/>
              <w:tabs>
                <w:tab w:val="left" w:pos="1508"/>
                <w:tab w:val="left" w:pos="2261"/>
                <w:tab w:val="left" w:pos="2892"/>
                <w:tab w:val="left" w:pos="4214"/>
                <w:tab w:val="left" w:pos="5850"/>
              </w:tabs>
              <w:ind w:left="60" w:right="25"/>
              <w:jc w:val="both"/>
              <w:rPr>
                <w:rFonts w:ascii="Times New Roman" w:eastAsia="Times New Roman" w:hAnsi="Times New Roman" w:cs="Times New Roman"/>
                <w:color w:val="000000"/>
                <w:spacing w:val="2"/>
                <w:sz w:val="23"/>
                <w:szCs w:val="23"/>
                <w:lang w:val="en-US"/>
              </w:rPr>
            </w:pPr>
            <w:r w:rsidRPr="007A2B57">
              <w:rPr>
                <w:rFonts w:ascii="Times New Roman" w:eastAsia="Times New Roman" w:hAnsi="Times New Roman" w:cs="Times New Roman"/>
                <w:color w:val="000000"/>
                <w:spacing w:val="2"/>
                <w:sz w:val="23"/>
                <w:szCs w:val="23"/>
              </w:rPr>
              <w:t>Инфузиялық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w:t>
            </w:r>
          </w:p>
          <w:p w:rsidR="00F44E5C" w:rsidRPr="00F7450F" w:rsidRDefault="00F44E5C" w:rsidP="00BE799C">
            <w:pPr>
              <w:widowControl w:val="0"/>
              <w:tabs>
                <w:tab w:val="left" w:pos="1508"/>
                <w:tab w:val="left" w:pos="2261"/>
                <w:tab w:val="left" w:pos="2892"/>
                <w:tab w:val="left" w:pos="4214"/>
                <w:tab w:val="left" w:pos="5850"/>
              </w:tabs>
              <w:ind w:left="60" w:right="25"/>
              <w:jc w:val="both"/>
              <w:rPr>
                <w:rFonts w:ascii="Times New Roman" w:eastAsia="Times New Roman" w:hAnsi="Times New Roman" w:cs="Times New Roman"/>
                <w:color w:val="000000"/>
                <w:spacing w:val="2"/>
                <w:sz w:val="23"/>
                <w:szCs w:val="23"/>
                <w:lang w:val="en-US"/>
              </w:rPr>
            </w:pPr>
          </w:p>
          <w:p w:rsidR="00F44E5C" w:rsidRPr="00F7450F" w:rsidRDefault="00F44E5C" w:rsidP="00BE799C">
            <w:pPr>
              <w:spacing w:after="12" w:line="200" w:lineRule="exact"/>
              <w:rPr>
                <w:rFonts w:ascii="Times New Roman" w:eastAsia="Times New Roman" w:hAnsi="Times New Roman" w:cs="Times New Roman"/>
                <w:color w:val="000000"/>
                <w:spacing w:val="2"/>
                <w:sz w:val="23"/>
                <w:szCs w:val="23"/>
                <w:lang w:val="en-US"/>
              </w:rPr>
            </w:pPr>
            <w:r w:rsidRPr="007A2B57">
              <w:rPr>
                <w:rFonts w:ascii="Times New Roman" w:eastAsia="Times New Roman" w:hAnsi="Times New Roman" w:cs="Times New Roman"/>
                <w:color w:val="000000"/>
                <w:spacing w:val="2"/>
                <w:sz w:val="23"/>
                <w:szCs w:val="23"/>
              </w:rPr>
              <w:t>Трастузумаб</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препаратымен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емдеу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кезінде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инфузиялық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байқалды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жекелеген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жағдайларда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ауыр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типтік</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симптомдар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ентігу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гипотония</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жүрек</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айнуы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жоғары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температура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бронхоспазм</w:t>
            </w:r>
            <w:r w:rsidRPr="00F7450F">
              <w:rPr>
                <w:rFonts w:ascii="Times New Roman" w:eastAsia="Times New Roman" w:hAnsi="Times New Roman" w:cs="Times New Roman"/>
                <w:color w:val="000000"/>
                <w:spacing w:val="2"/>
                <w:sz w:val="23"/>
                <w:szCs w:val="23"/>
                <w:lang w:val="en-US"/>
              </w:rPr>
              <w:t xml:space="preserve">, </w:t>
            </w:r>
            <w:proofErr w:type="gramStart"/>
            <w:r w:rsidRPr="007A2B57">
              <w:rPr>
                <w:rFonts w:ascii="Times New Roman" w:eastAsia="Times New Roman" w:hAnsi="Times New Roman" w:cs="Times New Roman"/>
                <w:color w:val="000000"/>
                <w:spacing w:val="2"/>
                <w:sz w:val="23"/>
                <w:szCs w:val="23"/>
              </w:rPr>
              <w:t>тахикардия</w:t>
            </w:r>
            <w:r w:rsidRPr="00F7450F">
              <w:rPr>
                <w:rFonts w:ascii="Times New Roman" w:eastAsia="Times New Roman" w:hAnsi="Times New Roman" w:cs="Times New Roman"/>
                <w:color w:val="000000"/>
                <w:spacing w:val="2"/>
                <w:sz w:val="23"/>
                <w:szCs w:val="23"/>
                <w:lang w:val="en-US"/>
              </w:rPr>
              <w:t>,</w:t>
            </w:r>
            <w:r w:rsidRPr="007A2B57">
              <w:rPr>
                <w:rFonts w:ascii="Times New Roman" w:eastAsia="Times New Roman" w:hAnsi="Times New Roman" w:cs="Times New Roman"/>
                <w:color w:val="000000"/>
                <w:spacing w:val="2"/>
                <w:sz w:val="23"/>
                <w:szCs w:val="23"/>
              </w:rPr>
              <w:t>есекжем</w:t>
            </w:r>
            <w:proofErr w:type="gramEnd"/>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тері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бөртпелері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және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басқалар</w:t>
            </w:r>
            <w:r w:rsidRPr="00F7450F">
              <w:rPr>
                <w:rFonts w:ascii="Times New Roman" w:eastAsia="Times New Roman" w:hAnsi="Times New Roman" w:cs="Times New Roman"/>
                <w:color w:val="000000"/>
                <w:spacing w:val="2"/>
                <w:sz w:val="23"/>
                <w:szCs w:val="23"/>
                <w:lang w:val="en-US"/>
              </w:rPr>
              <w:t>).</w:t>
            </w:r>
            <w:r w:rsidRPr="00F7450F">
              <w:rPr>
                <w:rFonts w:ascii="Times New Roman" w:eastAsia="Times New Roman" w:hAnsi="Times New Roman" w:cs="Times New Roman"/>
                <w:color w:val="000000"/>
                <w:spacing w:val="2"/>
                <w:sz w:val="23"/>
                <w:szCs w:val="23"/>
                <w:lang w:val="en-US"/>
              </w:rPr>
              <w:tab/>
            </w:r>
            <w:r w:rsidRPr="007A2B57">
              <w:rPr>
                <w:rFonts w:ascii="Times New Roman" w:eastAsia="Times New Roman" w:hAnsi="Times New Roman" w:cs="Times New Roman"/>
                <w:color w:val="000000"/>
                <w:spacing w:val="2"/>
                <w:sz w:val="23"/>
                <w:szCs w:val="23"/>
              </w:rPr>
              <w:t>Бұл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жағымсыз</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құбылыстар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инфузияға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байланысты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шеңберінде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кейінге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қалдырылған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түрінде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пайда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болуы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мүмкін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Инфузиялық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реакциялардың</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пайда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lastRenderedPageBreak/>
              <w:t>болу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қаупін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төмендету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үшін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премедикация</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тағайындалуы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мүмкін</w:t>
            </w:r>
            <w:r w:rsidRPr="00F7450F">
              <w:rPr>
                <w:rFonts w:ascii="Times New Roman" w:eastAsia="Times New Roman" w:hAnsi="Times New Roman" w:cs="Times New Roman"/>
                <w:color w:val="000000"/>
                <w:spacing w:val="2"/>
                <w:sz w:val="23"/>
                <w:szCs w:val="23"/>
                <w:lang w:val="en-US"/>
              </w:rPr>
              <w:t>.</w:t>
            </w:r>
          </w:p>
          <w:p w:rsidR="00F44E5C" w:rsidRPr="00F7450F" w:rsidRDefault="00F44E5C" w:rsidP="00BE799C">
            <w:pPr>
              <w:spacing w:after="12" w:line="200" w:lineRule="exact"/>
              <w:rPr>
                <w:rFonts w:ascii="Times New Roman" w:eastAsia="Times New Roman" w:hAnsi="Times New Roman" w:cs="Times New Roman"/>
                <w:sz w:val="20"/>
                <w:szCs w:val="20"/>
                <w:lang w:val="en-US"/>
              </w:rPr>
            </w:pPr>
          </w:p>
          <w:p w:rsidR="00F44E5C" w:rsidRPr="00F7450F" w:rsidRDefault="00F44E5C" w:rsidP="00BE799C">
            <w:pPr>
              <w:spacing w:after="12" w:line="200" w:lineRule="exact"/>
              <w:rPr>
                <w:rFonts w:ascii="Times New Roman" w:eastAsia="Times New Roman" w:hAnsi="Times New Roman" w:cs="Times New Roman"/>
                <w:color w:val="000000"/>
                <w:spacing w:val="2"/>
                <w:sz w:val="23"/>
                <w:szCs w:val="23"/>
                <w:lang w:val="en-US"/>
              </w:rPr>
            </w:pPr>
            <w:r w:rsidRPr="007A2B57">
              <w:rPr>
                <w:rFonts w:ascii="Times New Roman" w:eastAsia="Times New Roman" w:hAnsi="Times New Roman" w:cs="Times New Roman"/>
                <w:color w:val="000000"/>
                <w:spacing w:val="2"/>
                <w:sz w:val="23"/>
                <w:szCs w:val="23"/>
              </w:rPr>
              <w:t>Пациенттерді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инфузиялық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реакциялардың</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дамуы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тұрғысынан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бақылау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қажет</w:t>
            </w:r>
            <w:r w:rsidRPr="00F7450F">
              <w:rPr>
                <w:rFonts w:ascii="Times New Roman" w:eastAsia="Times New Roman" w:hAnsi="Times New Roman" w:cs="Times New Roman"/>
                <w:color w:val="000000"/>
                <w:spacing w:val="2"/>
                <w:sz w:val="23"/>
                <w:szCs w:val="23"/>
                <w:lang w:val="en-US"/>
              </w:rPr>
              <w:t>.</w:t>
            </w:r>
            <w:r w:rsidRPr="00F7450F">
              <w:rPr>
                <w:rFonts w:ascii="Times New Roman" w:eastAsia="Times New Roman" w:hAnsi="Times New Roman" w:cs="Times New Roman"/>
                <w:color w:val="000000"/>
                <w:spacing w:val="2"/>
                <w:sz w:val="23"/>
                <w:szCs w:val="23"/>
                <w:lang w:val="en-US"/>
              </w:rPr>
              <w:tab/>
            </w:r>
            <w:r w:rsidRPr="007A2B57">
              <w:rPr>
                <w:rFonts w:ascii="Times New Roman" w:eastAsia="Times New Roman" w:hAnsi="Times New Roman" w:cs="Times New Roman"/>
                <w:color w:val="000000"/>
                <w:spacing w:val="2"/>
                <w:sz w:val="23"/>
                <w:szCs w:val="23"/>
              </w:rPr>
              <w:t>Инфузияны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тоқтату</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осындай</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симптомдардың</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әлсіреуіне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ықпал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етуі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мүмкін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Инфузия</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оларды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естігеннен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кейін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жалғастырылуы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мүмкін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Бұл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симптомдар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петидин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немесе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парацетамол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сияқты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анальгетиктермен</w:t>
            </w:r>
            <w:r w:rsidRPr="00F7450F">
              <w:rPr>
                <w:rFonts w:ascii="Times New Roman" w:eastAsia="Times New Roman" w:hAnsi="Times New Roman" w:cs="Times New Roman"/>
                <w:color w:val="000000"/>
                <w:spacing w:val="2"/>
                <w:sz w:val="23"/>
                <w:szCs w:val="23"/>
                <w:lang w:val="en-US"/>
              </w:rPr>
              <w:t>/</w:t>
            </w:r>
            <w:r w:rsidRPr="007A2B57">
              <w:rPr>
                <w:rFonts w:ascii="Times New Roman" w:eastAsia="Times New Roman" w:hAnsi="Times New Roman" w:cs="Times New Roman"/>
                <w:color w:val="000000"/>
                <w:spacing w:val="2"/>
                <w:sz w:val="23"/>
                <w:szCs w:val="23"/>
              </w:rPr>
              <w:t>антипиретиктермен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немесе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дифенгидрамин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сияқты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антигистаминді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заттармен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басылуы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мүмкін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Ауыр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симптоматикалық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терапияны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мысалы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оттегімен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бета</w:t>
            </w:r>
            <w:r w:rsidRPr="00F7450F">
              <w:rPr>
                <w:rFonts w:ascii="Times New Roman" w:eastAsia="Times New Roman" w:hAnsi="Times New Roman" w:cs="Times New Roman"/>
                <w:color w:val="000000"/>
                <w:spacing w:val="2"/>
                <w:sz w:val="23"/>
                <w:szCs w:val="23"/>
                <w:lang w:val="en-US"/>
              </w:rPr>
              <w:t>-</w:t>
            </w:r>
            <w:r w:rsidRPr="007A2B57">
              <w:rPr>
                <w:rFonts w:ascii="Times New Roman" w:eastAsia="Times New Roman" w:hAnsi="Times New Roman" w:cs="Times New Roman"/>
                <w:color w:val="000000"/>
                <w:spacing w:val="2"/>
                <w:sz w:val="23"/>
                <w:szCs w:val="23"/>
              </w:rPr>
              <w:t>агонистермен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және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кортикостероидтармен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бақылауға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сәтті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берілді</w:t>
            </w:r>
            <w:r w:rsidRPr="00F7450F">
              <w:rPr>
                <w:rFonts w:ascii="Times New Roman" w:eastAsia="Times New Roman" w:hAnsi="Times New Roman" w:cs="Times New Roman"/>
                <w:color w:val="000000"/>
                <w:spacing w:val="2"/>
                <w:sz w:val="23"/>
                <w:szCs w:val="23"/>
                <w:lang w:val="en-US"/>
              </w:rPr>
              <w:t>.</w:t>
            </w:r>
            <w:r w:rsidRPr="00F7450F">
              <w:rPr>
                <w:rFonts w:ascii="Times New Roman" w:eastAsia="Times New Roman" w:hAnsi="Times New Roman" w:cs="Times New Roman"/>
                <w:color w:val="000000"/>
                <w:spacing w:val="2"/>
                <w:sz w:val="23"/>
                <w:szCs w:val="23"/>
                <w:lang w:val="en-US"/>
              </w:rPr>
              <w:tab/>
            </w:r>
            <w:r w:rsidRPr="007A2B57">
              <w:rPr>
                <w:rFonts w:ascii="Times New Roman" w:eastAsia="Times New Roman" w:hAnsi="Times New Roman" w:cs="Times New Roman"/>
                <w:color w:val="000000"/>
                <w:spacing w:val="2"/>
                <w:sz w:val="23"/>
                <w:szCs w:val="23"/>
              </w:rPr>
              <w:t>Сирек</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жағдайларда</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бұл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ықтимал</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өліммен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клиникалық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нәтижемен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ұштасады</w:t>
            </w:r>
            <w:r w:rsidRPr="00F7450F">
              <w:rPr>
                <w:rFonts w:ascii="Times New Roman" w:eastAsia="Times New Roman" w:hAnsi="Times New Roman" w:cs="Times New Roman"/>
                <w:color w:val="000000"/>
                <w:spacing w:val="2"/>
                <w:sz w:val="23"/>
                <w:szCs w:val="23"/>
                <w:lang w:val="en-US"/>
              </w:rPr>
              <w:t>.</w:t>
            </w:r>
          </w:p>
          <w:p w:rsidR="00F44E5C" w:rsidRPr="00F7450F" w:rsidRDefault="00F44E5C" w:rsidP="00BE799C">
            <w:pPr>
              <w:spacing w:after="12" w:line="200" w:lineRule="exact"/>
              <w:rPr>
                <w:rFonts w:ascii="Times New Roman" w:eastAsia="Times New Roman" w:hAnsi="Times New Roman" w:cs="Times New Roman"/>
                <w:sz w:val="20"/>
                <w:szCs w:val="20"/>
                <w:lang w:val="en-US"/>
              </w:rPr>
            </w:pP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Онкологиялық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процестің</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немесе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ілеспелі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аурулардың</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таралуы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салдарынан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тыныштық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жағдайында</w:t>
            </w:r>
            <w:r w:rsidRPr="00F7450F">
              <w:rPr>
                <w:rFonts w:ascii="Times New Roman" w:eastAsia="Times New Roman" w:hAnsi="Times New Roman" w:cs="Times New Roman"/>
                <w:color w:val="000000"/>
                <w:spacing w:val="2"/>
                <w:sz w:val="23"/>
                <w:szCs w:val="23"/>
                <w:lang w:val="en-US"/>
              </w:rPr>
              <w:t xml:space="preserve"> </w:t>
            </w:r>
            <w:r>
              <w:rPr>
                <w:rFonts w:ascii="Times New Roman" w:eastAsia="Times New Roman" w:hAnsi="Times New Roman" w:cs="Times New Roman"/>
                <w:color w:val="000000"/>
                <w:spacing w:val="2"/>
                <w:sz w:val="23"/>
                <w:szCs w:val="23"/>
                <w:lang w:val="kk-KZ"/>
              </w:rPr>
              <w:t>демікпесі</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бар</w:t>
            </w:r>
            <w:r w:rsidRPr="00F7450F">
              <w:rPr>
                <w:rFonts w:ascii="Times New Roman" w:eastAsia="Times New Roman" w:hAnsi="Times New Roman" w:cs="Times New Roman"/>
                <w:color w:val="000000"/>
                <w:spacing w:val="2"/>
                <w:sz w:val="23"/>
                <w:szCs w:val="23"/>
                <w:lang w:val="en-US"/>
              </w:rPr>
              <w:t xml:space="preserve"> </w:t>
            </w:r>
            <w:r>
              <w:rPr>
                <w:rFonts w:ascii="Times New Roman" w:eastAsia="Times New Roman" w:hAnsi="Times New Roman" w:cs="Times New Roman"/>
                <w:color w:val="000000"/>
                <w:spacing w:val="2"/>
                <w:sz w:val="23"/>
                <w:szCs w:val="23"/>
                <w:lang w:val="kk-KZ"/>
              </w:rPr>
              <w:t xml:space="preserve">пациенттерге </w:t>
            </w:r>
            <w:r w:rsidRPr="007A2B57">
              <w:rPr>
                <w:rFonts w:ascii="Times New Roman" w:eastAsia="Times New Roman" w:hAnsi="Times New Roman" w:cs="Times New Roman"/>
                <w:color w:val="000000"/>
                <w:spacing w:val="2"/>
                <w:sz w:val="23"/>
                <w:szCs w:val="23"/>
              </w:rPr>
              <w:t>өлімге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қатысты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инфузиялық</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реакциялар</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қаупіне</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ұшырайды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Демек</w:t>
            </w:r>
            <w:r w:rsidRPr="00F7450F">
              <w:rPr>
                <w:rFonts w:ascii="Times New Roman" w:eastAsia="Times New Roman" w:hAnsi="Times New Roman" w:cs="Times New Roman"/>
                <w:color w:val="000000"/>
                <w:spacing w:val="2"/>
                <w:sz w:val="23"/>
                <w:szCs w:val="23"/>
                <w:lang w:val="en-US"/>
              </w:rPr>
              <w:t xml:space="preserve">, </w:t>
            </w:r>
            <w:r>
              <w:rPr>
                <w:rFonts w:ascii="Times New Roman" w:eastAsia="Times New Roman" w:hAnsi="Times New Roman" w:cs="Times New Roman"/>
                <w:color w:val="000000"/>
                <w:spacing w:val="2"/>
                <w:sz w:val="23"/>
                <w:szCs w:val="23"/>
                <w:lang w:val="kk-KZ"/>
              </w:rPr>
              <w:t xml:space="preserve">пациенттердің </w:t>
            </w:r>
            <w:r w:rsidRPr="007A2B57">
              <w:rPr>
                <w:rFonts w:ascii="Times New Roman" w:eastAsia="Times New Roman" w:hAnsi="Times New Roman" w:cs="Times New Roman"/>
                <w:color w:val="000000"/>
                <w:spacing w:val="2"/>
                <w:sz w:val="23"/>
                <w:szCs w:val="23"/>
              </w:rPr>
              <w:t>осы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санаты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трастузумаб</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препаратымен</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ем</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алмауы</w:t>
            </w:r>
            <w:r w:rsidRPr="00F7450F">
              <w:rPr>
                <w:rFonts w:ascii="Times New Roman" w:eastAsia="Times New Roman" w:hAnsi="Times New Roman" w:cs="Times New Roman"/>
                <w:color w:val="000000"/>
                <w:spacing w:val="2"/>
                <w:sz w:val="23"/>
                <w:szCs w:val="23"/>
                <w:lang w:val="en-US"/>
              </w:rPr>
              <w:t xml:space="preserve"> </w:t>
            </w:r>
            <w:r w:rsidRPr="007A2B57">
              <w:rPr>
                <w:rFonts w:ascii="Times New Roman" w:eastAsia="Times New Roman" w:hAnsi="Times New Roman" w:cs="Times New Roman"/>
                <w:color w:val="000000"/>
                <w:spacing w:val="2"/>
                <w:sz w:val="23"/>
                <w:szCs w:val="23"/>
              </w:rPr>
              <w:t>тиіс</w:t>
            </w:r>
            <w:r w:rsidRPr="00F7450F">
              <w:rPr>
                <w:rFonts w:ascii="Times New Roman" w:eastAsia="Times New Roman" w:hAnsi="Times New Roman" w:cs="Times New Roman"/>
                <w:color w:val="000000"/>
                <w:spacing w:val="2"/>
                <w:sz w:val="23"/>
                <w:szCs w:val="23"/>
                <w:lang w:val="en-US"/>
              </w:rPr>
              <w:t>.</w:t>
            </w:r>
          </w:p>
          <w:p w:rsidR="00F44E5C" w:rsidRPr="00F7450F" w:rsidRDefault="00F44E5C" w:rsidP="00BE799C">
            <w:pPr>
              <w:widowControl w:val="0"/>
              <w:tabs>
                <w:tab w:val="left" w:pos="1690"/>
                <w:tab w:val="left" w:pos="3473"/>
                <w:tab w:val="left" w:pos="4702"/>
                <w:tab w:val="left" w:pos="5711"/>
              </w:tabs>
              <w:ind w:left="60" w:right="19"/>
              <w:jc w:val="both"/>
              <w:rPr>
                <w:rFonts w:ascii="Times New Roman" w:eastAsia="Times New Roman" w:hAnsi="Times New Roman" w:cs="Times New Roman"/>
                <w:color w:val="000000"/>
                <w:sz w:val="23"/>
                <w:szCs w:val="23"/>
                <w:lang w:val="en-US"/>
              </w:rPr>
            </w:pPr>
            <w:r w:rsidRPr="007A2B57">
              <w:rPr>
                <w:rFonts w:ascii="Times New Roman" w:eastAsia="Times New Roman" w:hAnsi="Times New Roman" w:cs="Times New Roman"/>
                <w:color w:val="000000"/>
                <w:spacing w:val="3"/>
                <w:sz w:val="23"/>
                <w:szCs w:val="23"/>
              </w:rPr>
              <w:t>Клиникалық</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инфузиялық</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реакциялар</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аса</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жоғары</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сезімталдық</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реакцияларынан</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тек</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үлкен</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қиындықпен</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ғана</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ажыратылуы</w:t>
            </w:r>
            <w:r w:rsidRPr="00F7450F">
              <w:rPr>
                <w:rFonts w:ascii="Times New Roman" w:eastAsia="Times New Roman" w:hAnsi="Times New Roman" w:cs="Times New Roman"/>
                <w:color w:val="000000"/>
                <w:spacing w:val="3"/>
                <w:sz w:val="23"/>
                <w:szCs w:val="23"/>
                <w:lang w:val="en-US"/>
              </w:rPr>
              <w:t xml:space="preserve"> </w:t>
            </w:r>
            <w:r w:rsidRPr="007A2B57">
              <w:rPr>
                <w:rFonts w:ascii="Times New Roman" w:eastAsia="Times New Roman" w:hAnsi="Times New Roman" w:cs="Times New Roman"/>
                <w:color w:val="000000"/>
                <w:spacing w:val="3"/>
                <w:sz w:val="23"/>
                <w:szCs w:val="23"/>
              </w:rPr>
              <w:t>мүмкін</w:t>
            </w:r>
            <w:r w:rsidRPr="00F7450F">
              <w:rPr>
                <w:rFonts w:ascii="Times New Roman" w:eastAsia="Times New Roman" w:hAnsi="Times New Roman" w:cs="Times New Roman"/>
                <w:color w:val="000000"/>
                <w:spacing w:val="3"/>
                <w:sz w:val="23"/>
                <w:szCs w:val="23"/>
                <w:lang w:val="en-US"/>
              </w:rPr>
              <w:t>.</w:t>
            </w:r>
            <w:r>
              <w:rPr>
                <w:rFonts w:ascii="Times New Roman" w:eastAsia="Times New Roman" w:hAnsi="Times New Roman" w:cs="Times New Roman"/>
                <w:color w:val="000000"/>
                <w:spacing w:val="3"/>
                <w:sz w:val="23"/>
                <w:szCs w:val="23"/>
                <w:lang w:val="kk-KZ"/>
              </w:rPr>
              <w:t xml:space="preserve"> </w:t>
            </w:r>
          </w:p>
          <w:p w:rsidR="00F44E5C" w:rsidRPr="00F7450F" w:rsidRDefault="00F44E5C" w:rsidP="00BE799C">
            <w:pPr>
              <w:spacing w:after="12" w:line="200" w:lineRule="exact"/>
              <w:rPr>
                <w:rFonts w:ascii="Times New Roman" w:eastAsia="Times New Roman" w:hAnsi="Times New Roman" w:cs="Times New Roman"/>
                <w:sz w:val="20"/>
                <w:szCs w:val="20"/>
                <w:lang w:val="en-US"/>
              </w:rPr>
            </w:pPr>
          </w:p>
          <w:p w:rsidR="00F44E5C" w:rsidRPr="00F7450F" w:rsidRDefault="00F44E5C" w:rsidP="00BE799C">
            <w:pPr>
              <w:spacing w:after="12" w:line="200" w:lineRule="exact"/>
              <w:rPr>
                <w:rFonts w:ascii="Times New Roman" w:eastAsia="Times New Roman" w:hAnsi="Times New Roman" w:cs="Times New Roman"/>
                <w:color w:val="000000"/>
                <w:spacing w:val="4"/>
                <w:sz w:val="23"/>
                <w:szCs w:val="23"/>
                <w:lang w:val="en-US"/>
              </w:rPr>
            </w:pPr>
            <w:r w:rsidRPr="007A2B57">
              <w:rPr>
                <w:rFonts w:ascii="Times New Roman" w:eastAsia="Times New Roman" w:hAnsi="Times New Roman" w:cs="Times New Roman"/>
                <w:color w:val="000000"/>
                <w:spacing w:val="4"/>
                <w:sz w:val="23"/>
                <w:szCs w:val="23"/>
              </w:rPr>
              <w:t>Ескеру</w:t>
            </w:r>
            <w:r>
              <w:rPr>
                <w:rFonts w:ascii="Times New Roman" w:eastAsia="Times New Roman" w:hAnsi="Times New Roman" w:cs="Times New Roman"/>
                <w:color w:val="000000"/>
                <w:spacing w:val="4"/>
                <w:sz w:val="23"/>
                <w:szCs w:val="23"/>
                <w:lang w:val="kk-KZ"/>
              </w:rPr>
              <w:t>ге</w:t>
            </w:r>
            <w:r w:rsidRPr="00F7450F">
              <w:rPr>
                <w:rFonts w:ascii="Times New Roman" w:eastAsia="Times New Roman" w:hAnsi="Times New Roman" w:cs="Times New Roman"/>
                <w:color w:val="000000"/>
                <w:spacing w:val="4"/>
                <w:sz w:val="23"/>
                <w:szCs w:val="23"/>
                <w:lang w:val="en-US"/>
              </w:rPr>
              <w:t xml:space="preserve"> </w:t>
            </w:r>
            <w:r w:rsidRPr="007A2B57">
              <w:rPr>
                <w:rFonts w:ascii="Times New Roman" w:eastAsia="Times New Roman" w:hAnsi="Times New Roman" w:cs="Times New Roman"/>
                <w:color w:val="000000"/>
                <w:spacing w:val="4"/>
                <w:sz w:val="23"/>
                <w:szCs w:val="23"/>
              </w:rPr>
              <w:t>қажет</w:t>
            </w:r>
            <w:r>
              <w:rPr>
                <w:rFonts w:ascii="Times New Roman" w:eastAsia="Times New Roman" w:hAnsi="Times New Roman" w:cs="Times New Roman"/>
                <w:color w:val="000000"/>
                <w:spacing w:val="4"/>
                <w:sz w:val="23"/>
                <w:szCs w:val="23"/>
                <w:lang w:val="kk-KZ"/>
              </w:rPr>
              <w:t>ті</w:t>
            </w:r>
            <w:r w:rsidRPr="00F7450F">
              <w:rPr>
                <w:rFonts w:ascii="Times New Roman" w:eastAsia="Times New Roman" w:hAnsi="Times New Roman" w:cs="Times New Roman"/>
                <w:color w:val="000000"/>
                <w:spacing w:val="4"/>
                <w:sz w:val="23"/>
                <w:szCs w:val="23"/>
                <w:lang w:val="en-US"/>
              </w:rPr>
              <w:t xml:space="preserve"> </w:t>
            </w:r>
            <w:r w:rsidRPr="007A2B57">
              <w:rPr>
                <w:rFonts w:ascii="Times New Roman" w:eastAsia="Times New Roman" w:hAnsi="Times New Roman" w:cs="Times New Roman"/>
                <w:color w:val="000000"/>
                <w:spacing w:val="4"/>
                <w:sz w:val="23"/>
                <w:szCs w:val="23"/>
              </w:rPr>
              <w:t>жалпы</w:t>
            </w:r>
            <w:r w:rsidRPr="00F7450F">
              <w:rPr>
                <w:rFonts w:ascii="Times New Roman" w:eastAsia="Times New Roman" w:hAnsi="Times New Roman" w:cs="Times New Roman"/>
                <w:color w:val="000000"/>
                <w:spacing w:val="4"/>
                <w:sz w:val="23"/>
                <w:szCs w:val="23"/>
                <w:lang w:val="en-US"/>
              </w:rPr>
              <w:t xml:space="preserve"> </w:t>
            </w:r>
            <w:r w:rsidRPr="007A2B57">
              <w:rPr>
                <w:rFonts w:ascii="Times New Roman" w:eastAsia="Times New Roman" w:hAnsi="Times New Roman" w:cs="Times New Roman"/>
                <w:color w:val="000000"/>
                <w:spacing w:val="4"/>
                <w:sz w:val="23"/>
                <w:szCs w:val="23"/>
              </w:rPr>
              <w:t>факторлар</w:t>
            </w:r>
          </w:p>
          <w:p w:rsidR="00F44E5C" w:rsidRPr="00F7450F" w:rsidRDefault="00F44E5C" w:rsidP="00BE799C">
            <w:pPr>
              <w:spacing w:after="12" w:line="200" w:lineRule="exact"/>
              <w:rPr>
                <w:rFonts w:ascii="Times New Roman" w:eastAsia="Times New Roman" w:hAnsi="Times New Roman" w:cs="Times New Roman"/>
                <w:sz w:val="20"/>
                <w:szCs w:val="20"/>
                <w:lang w:val="en-US"/>
              </w:rPr>
            </w:pPr>
          </w:p>
          <w:p w:rsidR="00F44E5C" w:rsidRPr="00F7450F" w:rsidRDefault="00F44E5C" w:rsidP="00BE799C">
            <w:pPr>
              <w:widowControl w:val="0"/>
              <w:tabs>
                <w:tab w:val="left" w:pos="620"/>
                <w:tab w:val="left" w:pos="1374"/>
                <w:tab w:val="left" w:pos="2127"/>
                <w:tab w:val="left" w:pos="2950"/>
                <w:tab w:val="left" w:pos="3818"/>
                <w:tab w:val="left" w:pos="4546"/>
                <w:tab w:val="left" w:pos="5026"/>
                <w:tab w:val="left" w:pos="5720"/>
              </w:tabs>
              <w:ind w:left="60" w:right="16"/>
              <w:jc w:val="both"/>
              <w:rPr>
                <w:rFonts w:ascii="Times New Roman" w:eastAsia="Times New Roman" w:hAnsi="Times New Roman" w:cs="Times New Roman"/>
                <w:color w:val="000000"/>
                <w:sz w:val="23"/>
                <w:szCs w:val="23"/>
                <w:lang w:val="en-US"/>
              </w:rPr>
            </w:pPr>
            <w:r w:rsidRPr="007A2B57">
              <w:rPr>
                <w:rFonts w:ascii="Times New Roman" w:eastAsia="Times New Roman" w:hAnsi="Times New Roman" w:cs="Times New Roman"/>
                <w:color w:val="000000"/>
                <w:sz w:val="23"/>
                <w:szCs w:val="23"/>
              </w:rPr>
              <w:t>Трастузумаб</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препаратымен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ем</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алатын</w:t>
            </w:r>
            <w:r w:rsidRPr="00F7450F">
              <w:rPr>
                <w:rFonts w:ascii="Times New Roman" w:eastAsia="Times New Roman" w:hAnsi="Times New Roman" w:cs="Times New Roman"/>
                <w:color w:val="000000"/>
                <w:sz w:val="23"/>
                <w:szCs w:val="23"/>
                <w:lang w:val="en-US"/>
              </w:rPr>
              <w:t xml:space="preserve"> </w:t>
            </w:r>
            <w:r>
              <w:rPr>
                <w:rFonts w:ascii="Times New Roman" w:eastAsia="Times New Roman" w:hAnsi="Times New Roman" w:cs="Times New Roman"/>
                <w:color w:val="000000"/>
                <w:sz w:val="23"/>
                <w:szCs w:val="23"/>
                <w:lang w:val="kk-KZ"/>
              </w:rPr>
              <w:t>пациенттерде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Нью</w:t>
            </w:r>
            <w:r w:rsidRPr="00F7450F">
              <w:rPr>
                <w:rFonts w:ascii="Times New Roman" w:eastAsia="Times New Roman" w:hAnsi="Times New Roman" w:cs="Times New Roman"/>
                <w:color w:val="000000"/>
                <w:sz w:val="23"/>
                <w:szCs w:val="23"/>
                <w:lang w:val="en-US"/>
              </w:rPr>
              <w:t>-</w:t>
            </w:r>
            <w:r w:rsidRPr="007A2B57">
              <w:rPr>
                <w:rFonts w:ascii="Times New Roman" w:eastAsia="Times New Roman" w:hAnsi="Times New Roman" w:cs="Times New Roman"/>
                <w:color w:val="000000"/>
                <w:sz w:val="23"/>
                <w:szCs w:val="23"/>
              </w:rPr>
              <w:t>Йорк</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кардиологтар</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қауымдастығының</w:t>
            </w:r>
            <w:r w:rsidRPr="00F7450F">
              <w:rPr>
                <w:rFonts w:ascii="Times New Roman" w:eastAsia="Times New Roman" w:hAnsi="Times New Roman" w:cs="Times New Roman"/>
                <w:color w:val="000000"/>
                <w:sz w:val="23"/>
                <w:szCs w:val="23"/>
                <w:lang w:val="en-US"/>
              </w:rPr>
              <w:t xml:space="preserve"> (NYHA) </w:t>
            </w:r>
            <w:r w:rsidRPr="007A2B57">
              <w:rPr>
                <w:rFonts w:ascii="Times New Roman" w:eastAsia="Times New Roman" w:hAnsi="Times New Roman" w:cs="Times New Roman"/>
                <w:color w:val="000000"/>
                <w:sz w:val="23"/>
                <w:szCs w:val="23"/>
              </w:rPr>
              <w:t>жіктелуі</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бойынша</w:t>
            </w:r>
            <w:r w:rsidRPr="00F7450F">
              <w:rPr>
                <w:rFonts w:ascii="Times New Roman" w:eastAsia="Times New Roman" w:hAnsi="Times New Roman" w:cs="Times New Roman"/>
                <w:color w:val="000000"/>
                <w:sz w:val="23"/>
                <w:szCs w:val="23"/>
                <w:lang w:val="en-US"/>
              </w:rPr>
              <w:t xml:space="preserve"> II-IV </w:t>
            </w:r>
            <w:r w:rsidRPr="007A2B57">
              <w:rPr>
                <w:rFonts w:ascii="Times New Roman" w:eastAsia="Times New Roman" w:hAnsi="Times New Roman" w:cs="Times New Roman"/>
                <w:color w:val="000000"/>
                <w:sz w:val="23"/>
                <w:szCs w:val="23"/>
              </w:rPr>
              <w:t>функционалдық</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сыныптардағы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жүре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пайда</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болған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жүрек</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жеткіліксіздігінің</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немесе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жүрек</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функциясының</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симптомсыз</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бұзылуының</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даму</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қаупі</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жоғары</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Бұл</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факт</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трастузумаб</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препаратымен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монотерапия</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жүргізу</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кезінде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немесе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антрациклиндермен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доксорубицинмен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немесе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эпирубицинмен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емдегеннен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кейін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так</w:t>
            </w:r>
            <w:r>
              <w:rPr>
                <w:rFonts w:ascii="Times New Roman" w:eastAsia="Times New Roman" w:hAnsi="Times New Roman" w:cs="Times New Roman"/>
                <w:color w:val="000000"/>
                <w:sz w:val="23"/>
                <w:szCs w:val="23"/>
                <w:lang w:val="kk-KZ"/>
              </w:rPr>
              <w:t xml:space="preserve"> </w:t>
            </w:r>
            <w:r w:rsidRPr="007A2B57">
              <w:rPr>
                <w:rFonts w:ascii="Times New Roman" w:eastAsia="Times New Roman" w:hAnsi="Times New Roman" w:cs="Times New Roman"/>
                <w:color w:val="000000"/>
                <w:sz w:val="23"/>
                <w:szCs w:val="23"/>
              </w:rPr>
              <w:t>сандармен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біріктіріп</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жүргенде</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орын</w:t>
            </w:r>
            <w:r w:rsidRPr="00F7450F">
              <w:rPr>
                <w:rFonts w:ascii="Times New Roman" w:eastAsia="Times New Roman" w:hAnsi="Times New Roman" w:cs="Times New Roman"/>
                <w:color w:val="000000"/>
                <w:sz w:val="23"/>
                <w:szCs w:val="23"/>
                <w:lang w:val="en-US"/>
              </w:rPr>
              <w:t xml:space="preserve"> </w:t>
            </w:r>
            <w:r w:rsidRPr="007A2B57">
              <w:rPr>
                <w:rFonts w:ascii="Times New Roman" w:eastAsia="Times New Roman" w:hAnsi="Times New Roman" w:cs="Times New Roman"/>
                <w:color w:val="000000"/>
                <w:sz w:val="23"/>
                <w:szCs w:val="23"/>
              </w:rPr>
              <w:t>алған</w:t>
            </w:r>
            <w:r w:rsidRPr="00F7450F">
              <w:rPr>
                <w:rFonts w:ascii="Times New Roman" w:eastAsia="Times New Roman" w:hAnsi="Times New Roman" w:cs="Times New Roman"/>
                <w:color w:val="000000"/>
                <w:sz w:val="23"/>
                <w:szCs w:val="23"/>
                <w:lang w:val="en-US"/>
              </w:rPr>
              <w:t>.</w:t>
            </w:r>
          </w:p>
          <w:p w:rsidR="00F44E5C" w:rsidRPr="00F7450F" w:rsidRDefault="00F44E5C" w:rsidP="00BE799C">
            <w:pPr>
              <w:widowControl w:val="0"/>
              <w:tabs>
                <w:tab w:val="left" w:pos="620"/>
                <w:tab w:val="left" w:pos="1374"/>
                <w:tab w:val="left" w:pos="2127"/>
                <w:tab w:val="left" w:pos="2950"/>
                <w:tab w:val="left" w:pos="3818"/>
                <w:tab w:val="left" w:pos="4546"/>
                <w:tab w:val="left" w:pos="5026"/>
                <w:tab w:val="left" w:pos="5720"/>
              </w:tabs>
              <w:ind w:left="60" w:right="16"/>
              <w:jc w:val="both"/>
              <w:rPr>
                <w:rFonts w:ascii="Times New Roman" w:eastAsia="Times New Roman" w:hAnsi="Times New Roman" w:cs="Times New Roman"/>
                <w:color w:val="000000"/>
                <w:spacing w:val="1"/>
                <w:sz w:val="23"/>
                <w:szCs w:val="23"/>
                <w:lang w:val="en-US"/>
              </w:rPr>
            </w:pPr>
          </w:p>
          <w:p w:rsidR="00F44E5C" w:rsidRDefault="00F44E5C" w:rsidP="00BE799C">
            <w:pPr>
              <w:rPr>
                <w:rFonts w:ascii="Times New Roman" w:eastAsia="Times New Roman" w:hAnsi="Times New Roman" w:cs="Times New Roman"/>
                <w:color w:val="000000"/>
                <w:spacing w:val="1"/>
                <w:sz w:val="23"/>
                <w:szCs w:val="23"/>
                <w:lang w:val="kk-KZ"/>
              </w:rPr>
            </w:pPr>
            <w:r>
              <w:rPr>
                <w:rFonts w:ascii="Times New Roman" w:eastAsia="Times New Roman" w:hAnsi="Times New Roman" w:cs="Times New Roman"/>
                <w:color w:val="000000"/>
                <w:spacing w:val="1"/>
                <w:sz w:val="23"/>
                <w:szCs w:val="23"/>
                <w:lang w:val="kk-KZ"/>
              </w:rPr>
              <w:t>Жүрек функциясының жеіспеушілігінің дәрежесі</w:t>
            </w:r>
            <w:r w:rsidRPr="00F44E5C">
              <w:rPr>
                <w:lang w:val="en-US"/>
              </w:rPr>
              <w:t xml:space="preserve"> </w:t>
            </w:r>
            <w:r w:rsidRPr="000D4903">
              <w:rPr>
                <w:rFonts w:ascii="Times New Roman" w:eastAsia="Times New Roman" w:hAnsi="Times New Roman" w:cs="Times New Roman"/>
                <w:color w:val="000000"/>
                <w:spacing w:val="1"/>
                <w:sz w:val="23"/>
                <w:szCs w:val="23"/>
                <w:lang w:val="kk-KZ"/>
              </w:rPr>
              <w:t>орташа ден ауырға дейін түрленеді және өлімге әкел</w:t>
            </w:r>
            <w:r>
              <w:rPr>
                <w:rFonts w:ascii="Times New Roman" w:eastAsia="Times New Roman" w:hAnsi="Times New Roman" w:cs="Times New Roman"/>
                <w:color w:val="000000"/>
                <w:spacing w:val="1"/>
                <w:sz w:val="23"/>
                <w:szCs w:val="23"/>
                <w:lang w:val="kk-KZ"/>
              </w:rPr>
              <w:t>уі мүмкін.</w:t>
            </w:r>
          </w:p>
          <w:p w:rsidR="00F44E5C" w:rsidRPr="00F7450F" w:rsidRDefault="00F44E5C" w:rsidP="00BE799C">
            <w:pPr>
              <w:spacing w:after="12" w:line="200" w:lineRule="exact"/>
              <w:jc w:val="both"/>
              <w:rPr>
                <w:rFonts w:ascii="Times New Roman" w:eastAsia="Times New Roman" w:hAnsi="Times New Roman" w:cs="Times New Roman"/>
                <w:sz w:val="20"/>
                <w:szCs w:val="20"/>
                <w:lang w:val="kk-KZ"/>
              </w:rPr>
            </w:pPr>
            <w:r w:rsidRPr="00F7450F">
              <w:rPr>
                <w:rFonts w:ascii="Times New Roman" w:eastAsia="Times New Roman" w:hAnsi="Times New Roman" w:cs="Times New Roman"/>
                <w:color w:val="000000"/>
                <w:spacing w:val="3"/>
                <w:sz w:val="23"/>
                <w:szCs w:val="23"/>
                <w:lang w:val="kk-KZ"/>
              </w:rPr>
              <w:t xml:space="preserve">Жоғары </w:t>
            </w:r>
            <w:r>
              <w:rPr>
                <w:rFonts w:ascii="Times New Roman" w:eastAsia="Times New Roman" w:hAnsi="Times New Roman" w:cs="Times New Roman"/>
                <w:color w:val="000000"/>
                <w:spacing w:val="3"/>
                <w:sz w:val="23"/>
                <w:szCs w:val="23"/>
                <w:lang w:val="kk-KZ"/>
              </w:rPr>
              <w:t xml:space="preserve">кардиологиялық </w:t>
            </w:r>
            <w:r w:rsidRPr="00F7450F">
              <w:rPr>
                <w:rFonts w:ascii="Times New Roman" w:eastAsia="Times New Roman" w:hAnsi="Times New Roman" w:cs="Times New Roman"/>
                <w:color w:val="000000"/>
                <w:spacing w:val="3"/>
                <w:sz w:val="23"/>
                <w:szCs w:val="23"/>
                <w:lang w:val="kk-KZ"/>
              </w:rPr>
              <w:t xml:space="preserve"> қаупі бар (мысалы, жүректің ишемиялық ауруымен белгіленген гипертензиямен, іркіліс жүрек жеткіліксіздігі, диастолиялық дисфункциямен, егде жастағы емделушілерде) пациенттерді емдеу кезінде сақтықты көрсету қажет.</w:t>
            </w:r>
          </w:p>
          <w:p w:rsidR="00F44E5C" w:rsidRPr="00F7450F" w:rsidRDefault="00F44E5C" w:rsidP="00BE799C">
            <w:pPr>
              <w:spacing w:after="12" w:line="200" w:lineRule="exact"/>
              <w:jc w:val="both"/>
              <w:rPr>
                <w:rFonts w:ascii="Times New Roman" w:eastAsia="Times New Roman" w:hAnsi="Times New Roman" w:cs="Times New Roman"/>
                <w:sz w:val="20"/>
                <w:szCs w:val="20"/>
                <w:lang w:val="kk-KZ"/>
              </w:rPr>
            </w:pPr>
            <w:r w:rsidRPr="00F7450F">
              <w:rPr>
                <w:rFonts w:ascii="Times New Roman" w:eastAsia="Times New Roman" w:hAnsi="Times New Roman" w:cs="Times New Roman"/>
                <w:color w:val="000000"/>
                <w:spacing w:val="2"/>
                <w:sz w:val="23"/>
                <w:szCs w:val="23"/>
                <w:lang w:val="kk-KZ"/>
              </w:rPr>
              <w:t xml:space="preserve">Трастузумабты және антрациклинді сүт безінің метастатикалық обырында немесе адъюванттық емдеу схемасында бір мезгілде қолдануға болмайды. Емдеудің неоадъюванттық схемасы кезінде трастузумаб және антрациклин препаратын бір мезгілде қолдану бұрын химиотерапия алмаған </w:t>
            </w:r>
            <w:r>
              <w:rPr>
                <w:rFonts w:ascii="Times New Roman" w:eastAsia="Times New Roman" w:hAnsi="Times New Roman" w:cs="Times New Roman"/>
                <w:color w:val="000000"/>
                <w:spacing w:val="2"/>
                <w:sz w:val="23"/>
                <w:szCs w:val="23"/>
                <w:lang w:val="kk-KZ"/>
              </w:rPr>
              <w:t>пациенттерге</w:t>
            </w:r>
            <w:r w:rsidRPr="00F7450F">
              <w:rPr>
                <w:rFonts w:ascii="Times New Roman" w:eastAsia="Times New Roman" w:hAnsi="Times New Roman" w:cs="Times New Roman"/>
                <w:color w:val="000000"/>
                <w:spacing w:val="2"/>
                <w:sz w:val="23"/>
                <w:szCs w:val="23"/>
                <w:lang w:val="kk-KZ"/>
              </w:rPr>
              <w:t xml:space="preserve"> ғана сақтықпен жүргізілуі тиіс. Антрациклиндермен төмен дозалық ем жағдайында ең жоғары кумулятивті доза 180 мг/м2 (доксорубицин) немесе 360 мг/м2 (эпирубицин) аспауы тиіс. Егер </w:t>
            </w:r>
            <w:r>
              <w:rPr>
                <w:rFonts w:ascii="Times New Roman" w:eastAsia="Times New Roman" w:hAnsi="Times New Roman" w:cs="Times New Roman"/>
                <w:color w:val="000000"/>
                <w:spacing w:val="2"/>
                <w:sz w:val="23"/>
                <w:szCs w:val="23"/>
                <w:lang w:val="kk-KZ"/>
              </w:rPr>
              <w:t>пациенттер</w:t>
            </w:r>
            <w:r w:rsidRPr="00F7450F">
              <w:rPr>
                <w:rFonts w:ascii="Times New Roman" w:eastAsia="Times New Roman" w:hAnsi="Times New Roman" w:cs="Times New Roman"/>
                <w:color w:val="000000"/>
                <w:spacing w:val="2"/>
                <w:sz w:val="23"/>
                <w:szCs w:val="23"/>
                <w:lang w:val="kk-KZ"/>
              </w:rPr>
              <w:t xml:space="preserve"> бір мезгілде төмен дозалы антрациклиндермен және трастузумаб препаратымен неоадъюванттық схема бойынша ем алған жағдайда, операциядан кейінгі кезеңде қосымша цитотоксикалық терапия қолданылмауы тиіс. Неоадъювантты-адъювантты емдеу схемасын қолданудың клиникалық тәжірибесі 65 жастан асқан </w:t>
            </w:r>
            <w:r>
              <w:rPr>
                <w:rFonts w:ascii="Times New Roman" w:eastAsia="Times New Roman" w:hAnsi="Times New Roman" w:cs="Times New Roman"/>
                <w:color w:val="000000"/>
                <w:spacing w:val="2"/>
                <w:sz w:val="23"/>
                <w:szCs w:val="23"/>
                <w:lang w:val="kk-KZ"/>
              </w:rPr>
              <w:t>пациенттерге</w:t>
            </w:r>
            <w:r w:rsidRPr="00F7450F">
              <w:rPr>
                <w:rFonts w:ascii="Times New Roman" w:eastAsia="Times New Roman" w:hAnsi="Times New Roman" w:cs="Times New Roman"/>
                <w:color w:val="000000"/>
                <w:spacing w:val="2"/>
                <w:sz w:val="23"/>
                <w:szCs w:val="23"/>
                <w:lang w:val="kk-KZ"/>
              </w:rPr>
              <w:t xml:space="preserve"> қатысты шектелген.</w:t>
            </w:r>
          </w:p>
          <w:p w:rsidR="00F44E5C" w:rsidRPr="00F7450F" w:rsidRDefault="00F44E5C" w:rsidP="00BE799C">
            <w:pPr>
              <w:spacing w:after="12" w:line="200" w:lineRule="exact"/>
              <w:jc w:val="both"/>
              <w:rPr>
                <w:rFonts w:ascii="Times New Roman" w:eastAsia="Times New Roman" w:hAnsi="Times New Roman" w:cs="Times New Roman"/>
                <w:sz w:val="20"/>
                <w:szCs w:val="20"/>
                <w:lang w:val="kk-KZ"/>
              </w:rPr>
            </w:pPr>
            <w:r w:rsidRPr="00F7450F">
              <w:rPr>
                <w:rFonts w:ascii="Times New Roman" w:eastAsia="Times New Roman" w:hAnsi="Times New Roman" w:cs="Times New Roman"/>
                <w:color w:val="000000"/>
                <w:spacing w:val="2"/>
                <w:sz w:val="23"/>
                <w:szCs w:val="23"/>
                <w:lang w:val="kk-KZ"/>
              </w:rPr>
              <w:lastRenderedPageBreak/>
              <w:t>Жанама әсерлер түріндегі көптеген карди</w:t>
            </w:r>
            <w:r>
              <w:rPr>
                <w:rFonts w:ascii="Times New Roman" w:eastAsia="Times New Roman" w:hAnsi="Times New Roman" w:cs="Times New Roman"/>
                <w:color w:val="000000"/>
                <w:spacing w:val="2"/>
                <w:sz w:val="23"/>
                <w:szCs w:val="23"/>
                <w:lang w:val="kk-KZ"/>
              </w:rPr>
              <w:t>ология</w:t>
            </w:r>
            <w:r w:rsidRPr="00F7450F">
              <w:rPr>
                <w:rFonts w:ascii="Times New Roman" w:eastAsia="Times New Roman" w:hAnsi="Times New Roman" w:cs="Times New Roman"/>
                <w:color w:val="000000"/>
                <w:spacing w:val="2"/>
                <w:sz w:val="23"/>
                <w:szCs w:val="23"/>
                <w:lang w:val="kk-KZ"/>
              </w:rPr>
              <w:t xml:space="preserve"> симптомдар емдеудің қолданылатын схемасына қарамастан алғашқы 18 ай ішінде пайда болды. Жалпы, олардың жиілігі 3 жылдан кейін өскен жоқ. Көп жағдайда сол қарыншаның дисфункциясы трастузумаб препаратымен емдеуді тоқтатқаннан кейін және/немесе жүрек ауруын емдеуді бастағаннан кейін жақсарады.</w:t>
            </w:r>
          </w:p>
          <w:p w:rsidR="00F44E5C" w:rsidRPr="00F7450F" w:rsidRDefault="00F44E5C" w:rsidP="00BE799C">
            <w:pPr>
              <w:spacing w:after="12" w:line="200" w:lineRule="exact"/>
              <w:jc w:val="both"/>
              <w:rPr>
                <w:rFonts w:ascii="Times New Roman" w:eastAsia="Times New Roman" w:hAnsi="Times New Roman" w:cs="Times New Roman"/>
                <w:color w:val="000000"/>
                <w:spacing w:val="2"/>
                <w:sz w:val="23"/>
                <w:szCs w:val="23"/>
                <w:lang w:val="kk-KZ"/>
              </w:rPr>
            </w:pPr>
            <w:r w:rsidRPr="00F7450F">
              <w:rPr>
                <w:rFonts w:ascii="Times New Roman" w:eastAsia="Times New Roman" w:hAnsi="Times New Roman" w:cs="Times New Roman"/>
                <w:color w:val="000000"/>
                <w:spacing w:val="2"/>
                <w:sz w:val="23"/>
                <w:szCs w:val="23"/>
                <w:lang w:val="kk-KZ"/>
              </w:rPr>
              <w:t xml:space="preserve">Трастузумабтың жартылай шығарылу кезеңі шамамен 28-38 күн болғандықтан, ол емдеуді тоқтатқаннан кейін 27 аптаға дейін тамырлы арнада айнала алады. Трастузумаб препаратымен емдеуді аяқтағаннан кейін антрациклин алған </w:t>
            </w:r>
            <w:r>
              <w:rPr>
                <w:rFonts w:ascii="Times New Roman" w:eastAsia="Times New Roman" w:hAnsi="Times New Roman" w:cs="Times New Roman"/>
                <w:color w:val="000000"/>
                <w:spacing w:val="2"/>
                <w:sz w:val="23"/>
                <w:szCs w:val="23"/>
                <w:lang w:val="kk-KZ"/>
              </w:rPr>
              <w:t xml:space="preserve">пациенттер </w:t>
            </w:r>
            <w:r w:rsidRPr="00F7450F">
              <w:rPr>
                <w:rFonts w:ascii="Times New Roman" w:eastAsia="Times New Roman" w:hAnsi="Times New Roman" w:cs="Times New Roman"/>
                <w:color w:val="000000"/>
                <w:spacing w:val="2"/>
                <w:sz w:val="23"/>
                <w:szCs w:val="23"/>
                <w:lang w:val="kk-KZ"/>
              </w:rPr>
              <w:t xml:space="preserve"> кардио</w:t>
            </w:r>
            <w:r>
              <w:rPr>
                <w:rFonts w:ascii="Times New Roman" w:eastAsia="Times New Roman" w:hAnsi="Times New Roman" w:cs="Times New Roman"/>
                <w:color w:val="000000"/>
                <w:spacing w:val="2"/>
                <w:sz w:val="23"/>
                <w:szCs w:val="23"/>
                <w:lang w:val="kk-KZ"/>
              </w:rPr>
              <w:t xml:space="preserve">уыттылық </w:t>
            </w:r>
            <w:r w:rsidRPr="00F7450F">
              <w:rPr>
                <w:rFonts w:ascii="Times New Roman" w:eastAsia="Times New Roman" w:hAnsi="Times New Roman" w:cs="Times New Roman"/>
                <w:color w:val="000000"/>
                <w:spacing w:val="2"/>
                <w:sz w:val="23"/>
                <w:szCs w:val="23"/>
                <w:lang w:val="kk-KZ"/>
              </w:rPr>
              <w:t xml:space="preserve"> пайда болу қаупі тобында болуы мүмкін.</w:t>
            </w:r>
          </w:p>
          <w:p w:rsidR="00F44E5C" w:rsidRPr="00F7450F" w:rsidRDefault="00F44E5C" w:rsidP="00BE799C">
            <w:pPr>
              <w:spacing w:after="12" w:line="200" w:lineRule="exact"/>
              <w:jc w:val="both"/>
              <w:rPr>
                <w:rFonts w:ascii="Times New Roman" w:eastAsia="Times New Roman" w:hAnsi="Times New Roman" w:cs="Times New Roman"/>
                <w:color w:val="000000"/>
                <w:spacing w:val="2"/>
                <w:sz w:val="23"/>
                <w:szCs w:val="23"/>
                <w:lang w:val="kk-KZ"/>
              </w:rPr>
            </w:pPr>
            <w:r w:rsidRPr="00F7450F">
              <w:rPr>
                <w:rFonts w:ascii="Times New Roman" w:eastAsia="Times New Roman" w:hAnsi="Times New Roman" w:cs="Times New Roman"/>
                <w:color w:val="000000"/>
                <w:spacing w:val="2"/>
                <w:sz w:val="23"/>
                <w:szCs w:val="23"/>
                <w:lang w:val="kk-KZ"/>
              </w:rPr>
              <w:t>Егер бұл мүмкін болса, трастузумаб препаратымен емдеуді тоқтатқаннан кейін 27 аптаға дейін құрамында антрациклин бар терапияны тағайындаудан аулақ болу керек.</w:t>
            </w:r>
          </w:p>
          <w:p w:rsidR="00F44E5C" w:rsidRPr="00F7450F" w:rsidRDefault="00F44E5C" w:rsidP="00BE799C">
            <w:pPr>
              <w:spacing w:after="12" w:line="200" w:lineRule="exact"/>
              <w:jc w:val="both"/>
              <w:rPr>
                <w:rFonts w:ascii="Times New Roman" w:eastAsia="Times New Roman" w:hAnsi="Times New Roman" w:cs="Times New Roman"/>
                <w:color w:val="000000"/>
                <w:spacing w:val="2"/>
                <w:sz w:val="23"/>
                <w:szCs w:val="23"/>
                <w:lang w:val="kk-KZ"/>
              </w:rPr>
            </w:pPr>
            <w:r w:rsidRPr="00F7450F">
              <w:rPr>
                <w:rFonts w:ascii="Times New Roman" w:eastAsia="Times New Roman" w:hAnsi="Times New Roman" w:cs="Times New Roman"/>
                <w:color w:val="000000"/>
                <w:spacing w:val="2"/>
                <w:sz w:val="23"/>
                <w:szCs w:val="23"/>
                <w:lang w:val="kk-KZ"/>
              </w:rPr>
              <w:t>Трастузумаб препаратымен емдеуді бастағанға дейін, әсіресе антрациклиндермен алдын ала емдеу жағдайында емделушілер жүрек қызметін бағалауға, оның ішінде физикалық тексеруге және анамнезді жинауға, ЭКГ, эхокардиограммаға және/немесе мультигейтацияланған радионуклидті ангиографияға (MUGA) жатады. Жүрек дисфункциясы бар пациенттерді ерте анықтау мақсатында Мониторинг емдеу кезінде әрбір 3 ай сайын және емдеу аяқталғаннан кейін әрбір 6 ай сайын, трастузумаб препаратын соңғы енгізгеннен кейін 24 айға дейін жүректің бастапқы жағдайын бағалау түрінде орындалуы тиіс.</w:t>
            </w:r>
          </w:p>
          <w:p w:rsidR="00F44E5C" w:rsidRPr="00F7450F" w:rsidRDefault="00F44E5C" w:rsidP="00BE799C">
            <w:pPr>
              <w:spacing w:after="12" w:line="200" w:lineRule="exact"/>
              <w:rPr>
                <w:rFonts w:ascii="Times New Roman" w:eastAsia="Times New Roman" w:hAnsi="Times New Roman" w:cs="Times New Roman"/>
                <w:sz w:val="20"/>
                <w:szCs w:val="20"/>
                <w:lang w:val="kk-KZ"/>
              </w:rPr>
            </w:pPr>
            <w:r w:rsidRPr="00F7450F">
              <w:rPr>
                <w:rFonts w:ascii="Times New Roman" w:eastAsia="Times New Roman" w:hAnsi="Times New Roman" w:cs="Times New Roman"/>
                <w:color w:val="000000"/>
                <w:spacing w:val="2"/>
                <w:sz w:val="23"/>
                <w:szCs w:val="23"/>
                <w:lang w:val="kk-KZ"/>
              </w:rPr>
              <w:t>Құрамында антрациклин бар химиотерапия алатын емделушілерге трастузумаб препаратын соңғы енгізген сәттен бастап 5 жылға дейін немесе одан да ұзақ жыл сайынғы мониторинг ұсынылады, егер тұрақты азаю байқалса</w:t>
            </w:r>
            <w:r>
              <w:rPr>
                <w:rFonts w:ascii="Times New Roman" w:eastAsia="Times New Roman" w:hAnsi="Times New Roman" w:cs="Times New Roman"/>
                <w:color w:val="000000"/>
                <w:spacing w:val="2"/>
                <w:sz w:val="23"/>
                <w:szCs w:val="23"/>
                <w:lang w:val="kk-KZ"/>
              </w:rPr>
              <w:t xml:space="preserve">, </w:t>
            </w:r>
            <w:r w:rsidRPr="00F7450F">
              <w:rPr>
                <w:rFonts w:ascii="Times New Roman" w:eastAsia="Times New Roman" w:hAnsi="Times New Roman" w:cs="Times New Roman"/>
                <w:color w:val="000000"/>
                <w:spacing w:val="3"/>
                <w:sz w:val="23"/>
                <w:szCs w:val="23"/>
                <w:lang w:val="kk-KZ"/>
              </w:rPr>
              <w:t>сол қарынша шығарындысының фракциялары (ФВЛЖ).</w:t>
            </w:r>
          </w:p>
          <w:p w:rsidR="00F44E5C" w:rsidRPr="00F44E5C" w:rsidRDefault="00F44E5C" w:rsidP="00BE799C">
            <w:pPr>
              <w:spacing w:after="12" w:line="200" w:lineRule="exact"/>
              <w:jc w:val="both"/>
              <w:rPr>
                <w:rFonts w:ascii="Times New Roman" w:eastAsia="Times New Roman" w:hAnsi="Times New Roman" w:cs="Times New Roman"/>
                <w:sz w:val="20"/>
                <w:szCs w:val="20"/>
                <w:lang w:val="kk-KZ"/>
              </w:rPr>
            </w:pPr>
            <w:r w:rsidRPr="00F44E5C">
              <w:rPr>
                <w:rFonts w:ascii="Times New Roman" w:eastAsia="Times New Roman" w:hAnsi="Times New Roman" w:cs="Times New Roman"/>
                <w:color w:val="000000"/>
                <w:spacing w:val="1"/>
                <w:sz w:val="23"/>
                <w:szCs w:val="23"/>
                <w:lang w:val="kk-KZ"/>
              </w:rPr>
              <w:t>Егер ФВЛЖ бастапқы деңгеймен салыстырғанда 10% немесе одан көп және 50% төмен болса, трастузумаб препаратымен емдеуді шамамен 3 аптадан кешіктірмей тоқтатып, ФВЛЖ-ды қайта бағалау керек. Егер емдеу кезінде сол жақ қарыншаның шығарындысының фракциясы жақсармаса немесе ол төмендеуін жалғастырса, не клиникалық мәнді жүрек жеткіліксіздігі дамитын болса, оны қолданудан пайда осы тәуекелдерден асып кететін жекелеген жағдайларды қоспағанда, трастузумабты дереу тоқтату керек. Жүректің симптомсыз дисфункциясы бар емделушілер жиі бағалауға жатады (мысалы, әр 6-8 апта сайын). Егер сол жақ қарынша функциясының тұрақты төмендеуі байқалса, бірақ симптомсыз болып қалса, трастузумаб препаратын қолданудың клиникалық пайдасы айқын болмаса, дәрігер емдеуді тоқтату мүмкіндігін қарастыру керек.</w:t>
            </w:r>
          </w:p>
          <w:p w:rsidR="00F44E5C" w:rsidRPr="00F44E5C" w:rsidRDefault="00F44E5C" w:rsidP="00BE799C">
            <w:pPr>
              <w:spacing w:after="12" w:line="200" w:lineRule="exact"/>
              <w:jc w:val="both"/>
              <w:rPr>
                <w:rFonts w:ascii="Times New Roman" w:eastAsia="Times New Roman" w:hAnsi="Times New Roman" w:cs="Times New Roman"/>
                <w:sz w:val="20"/>
                <w:szCs w:val="20"/>
                <w:lang w:val="kk-KZ"/>
              </w:rPr>
            </w:pPr>
            <w:r w:rsidRPr="00F44E5C">
              <w:rPr>
                <w:rFonts w:ascii="Times New Roman" w:eastAsia="Times New Roman" w:hAnsi="Times New Roman" w:cs="Times New Roman"/>
                <w:color w:val="000000"/>
                <w:spacing w:val="1"/>
                <w:sz w:val="23"/>
                <w:szCs w:val="23"/>
                <w:lang w:val="kk-KZ"/>
              </w:rPr>
              <w:t xml:space="preserve">Трастузумаб препаратымен емдеуді жалғастыру немесе жаңарту қауіпсіздігі жүрек дисфункциясы бар </w:t>
            </w:r>
            <w:r>
              <w:rPr>
                <w:rFonts w:ascii="Times New Roman" w:eastAsia="Times New Roman" w:hAnsi="Times New Roman" w:cs="Times New Roman"/>
                <w:color w:val="000000"/>
                <w:spacing w:val="1"/>
                <w:sz w:val="23"/>
                <w:szCs w:val="23"/>
                <w:lang w:val="kk-KZ"/>
              </w:rPr>
              <w:t xml:space="preserve">пациенттерде </w:t>
            </w:r>
            <w:r w:rsidRPr="00F44E5C">
              <w:rPr>
                <w:rFonts w:ascii="Times New Roman" w:eastAsia="Times New Roman" w:hAnsi="Times New Roman" w:cs="Times New Roman"/>
                <w:color w:val="000000"/>
                <w:spacing w:val="1"/>
                <w:sz w:val="23"/>
                <w:szCs w:val="23"/>
                <w:lang w:val="kk-KZ"/>
              </w:rPr>
              <w:t xml:space="preserve"> проспективті зерттелген жоқ. Егер трастузумаб препаратымен емдеу аясында жүрек жеткіліксіздігі симптомдары дамитын болса, оны емдеуді стандартты препараттармен жүргізу керек. Егер емделуші үшін пайда тәуекелдерден аспайтын болса, клиникалық маңызды жүрек жеткіліксіздігі бар </w:t>
            </w:r>
            <w:r>
              <w:rPr>
                <w:rFonts w:ascii="Times New Roman" w:eastAsia="Times New Roman" w:hAnsi="Times New Roman" w:cs="Times New Roman"/>
                <w:color w:val="000000"/>
                <w:spacing w:val="1"/>
                <w:sz w:val="23"/>
                <w:szCs w:val="23"/>
                <w:lang w:val="kk-KZ"/>
              </w:rPr>
              <w:t xml:space="preserve">пациенттерде </w:t>
            </w:r>
            <w:r w:rsidRPr="00F44E5C">
              <w:rPr>
                <w:rFonts w:ascii="Times New Roman" w:eastAsia="Times New Roman" w:hAnsi="Times New Roman" w:cs="Times New Roman"/>
                <w:color w:val="000000"/>
                <w:spacing w:val="1"/>
                <w:sz w:val="23"/>
                <w:szCs w:val="23"/>
                <w:lang w:val="kk-KZ"/>
              </w:rPr>
              <w:t xml:space="preserve"> трастузумаб препаратын енгізуді тоқтату қажеттілігін елеулі түрде қарастыру керек.</w:t>
            </w:r>
          </w:p>
          <w:p w:rsidR="00F44E5C" w:rsidRPr="00F44E5C" w:rsidRDefault="00F44E5C" w:rsidP="00BE799C">
            <w:pPr>
              <w:spacing w:after="12" w:line="200" w:lineRule="exact"/>
              <w:rPr>
                <w:rFonts w:ascii="Times New Roman" w:eastAsia="Times New Roman" w:hAnsi="Times New Roman" w:cs="Times New Roman"/>
                <w:sz w:val="20"/>
                <w:szCs w:val="20"/>
                <w:lang w:val="kk-KZ"/>
              </w:rPr>
            </w:pPr>
            <w:r w:rsidRPr="00F44E5C">
              <w:rPr>
                <w:rFonts w:ascii="Times New Roman" w:eastAsia="Times New Roman" w:hAnsi="Times New Roman" w:cs="Times New Roman"/>
                <w:color w:val="000000"/>
                <w:spacing w:val="2"/>
                <w:sz w:val="23"/>
                <w:szCs w:val="23"/>
                <w:lang w:val="kk-KZ"/>
              </w:rPr>
              <w:t xml:space="preserve">Адъювантты және адъюбантты </w:t>
            </w:r>
            <w:r>
              <w:rPr>
                <w:rFonts w:ascii="Times New Roman" w:eastAsia="Times New Roman" w:hAnsi="Times New Roman" w:cs="Times New Roman"/>
                <w:color w:val="000000"/>
                <w:spacing w:val="2"/>
                <w:sz w:val="23"/>
                <w:szCs w:val="23"/>
                <w:lang w:val="kk-KZ"/>
              </w:rPr>
              <w:t xml:space="preserve">емес </w:t>
            </w:r>
            <w:r w:rsidRPr="00F44E5C">
              <w:rPr>
                <w:rFonts w:ascii="Times New Roman" w:eastAsia="Times New Roman" w:hAnsi="Times New Roman" w:cs="Times New Roman"/>
                <w:color w:val="000000"/>
                <w:spacing w:val="2"/>
                <w:sz w:val="23"/>
                <w:szCs w:val="23"/>
                <w:lang w:val="kk-KZ"/>
              </w:rPr>
              <w:t>емдеу</w:t>
            </w:r>
          </w:p>
          <w:p w:rsidR="00F44E5C" w:rsidRPr="00F44E5C" w:rsidRDefault="00F44E5C" w:rsidP="00BE799C">
            <w:pPr>
              <w:spacing w:after="12" w:line="200" w:lineRule="exact"/>
              <w:jc w:val="both"/>
              <w:rPr>
                <w:rFonts w:ascii="Times New Roman" w:eastAsia="Times New Roman" w:hAnsi="Times New Roman" w:cs="Times New Roman"/>
                <w:sz w:val="20"/>
                <w:szCs w:val="20"/>
                <w:lang w:val="kk-KZ"/>
              </w:rPr>
            </w:pPr>
            <w:r w:rsidRPr="00F44E5C">
              <w:rPr>
                <w:rFonts w:ascii="Times New Roman" w:eastAsia="Times New Roman" w:hAnsi="Times New Roman" w:cs="Times New Roman"/>
                <w:color w:val="000000"/>
                <w:sz w:val="23"/>
                <w:szCs w:val="23"/>
                <w:lang w:val="kk-KZ"/>
              </w:rPr>
              <w:t>Сүт безінің ерте</w:t>
            </w:r>
            <w:r>
              <w:rPr>
                <w:rFonts w:ascii="Times New Roman" w:eastAsia="Times New Roman" w:hAnsi="Times New Roman" w:cs="Times New Roman"/>
                <w:color w:val="000000"/>
                <w:sz w:val="23"/>
                <w:szCs w:val="23"/>
                <w:lang w:val="kk-KZ"/>
              </w:rPr>
              <w:t xml:space="preserve"> анықталған </w:t>
            </w:r>
            <w:r w:rsidRPr="00F44E5C">
              <w:rPr>
                <w:rFonts w:ascii="Times New Roman" w:eastAsia="Times New Roman" w:hAnsi="Times New Roman" w:cs="Times New Roman"/>
                <w:color w:val="000000"/>
                <w:sz w:val="23"/>
                <w:szCs w:val="23"/>
                <w:lang w:val="kk-KZ"/>
              </w:rPr>
              <w:t xml:space="preserve"> қатерлі ісігі бар </w:t>
            </w:r>
            <w:r>
              <w:rPr>
                <w:rFonts w:ascii="Times New Roman" w:eastAsia="Times New Roman" w:hAnsi="Times New Roman" w:cs="Times New Roman"/>
                <w:color w:val="000000"/>
                <w:sz w:val="23"/>
                <w:szCs w:val="23"/>
                <w:lang w:val="kk-KZ"/>
              </w:rPr>
              <w:t>пациенттерде</w:t>
            </w:r>
            <w:r w:rsidRPr="00F44E5C">
              <w:rPr>
                <w:rFonts w:ascii="Times New Roman" w:eastAsia="Times New Roman" w:hAnsi="Times New Roman" w:cs="Times New Roman"/>
                <w:color w:val="000000"/>
                <w:sz w:val="23"/>
                <w:szCs w:val="23"/>
                <w:lang w:val="kk-KZ"/>
              </w:rPr>
              <w:t xml:space="preserve"> емнің антрациклин емес схемасымен, доцетакселмен немесе карбоплатинмен салыстырғанда құрамында терапия бар трастузумаба препаратын енгізген кезде кардиологиялық оқиғалар симптомдары мен олардың симптомсыз нысандары жиілігінің артуы байқалды. Трастузумаб препаратын </w:t>
            </w:r>
            <w:r w:rsidRPr="00F44E5C">
              <w:rPr>
                <w:rFonts w:ascii="Times New Roman" w:eastAsia="Times New Roman" w:hAnsi="Times New Roman" w:cs="Times New Roman"/>
                <w:color w:val="000000"/>
                <w:sz w:val="23"/>
                <w:szCs w:val="23"/>
                <w:lang w:val="kk-KZ"/>
              </w:rPr>
              <w:lastRenderedPageBreak/>
              <w:t>таксандармен бір мезгілде қолданғанда, олардың жүйелі қолдануымен салыстырғанда жиілігі жоғары болды.     Қолданылатын емдеу схемасына қарамастан, кардиологиялық оқиғалардың көптеген симптомдары алғашқы 18 айда белгіленді.</w:t>
            </w:r>
          </w:p>
          <w:p w:rsidR="00F44E5C" w:rsidRPr="00F44E5C" w:rsidRDefault="00F44E5C" w:rsidP="00BE799C">
            <w:pPr>
              <w:spacing w:after="12" w:line="200" w:lineRule="exact"/>
              <w:jc w:val="both"/>
              <w:rPr>
                <w:rFonts w:ascii="Times New Roman" w:eastAsia="Times New Roman" w:hAnsi="Times New Roman" w:cs="Times New Roman"/>
                <w:sz w:val="20"/>
                <w:szCs w:val="20"/>
                <w:lang w:val="kk-KZ"/>
              </w:rPr>
            </w:pPr>
            <w:r w:rsidRPr="00F44E5C">
              <w:rPr>
                <w:rFonts w:ascii="Times New Roman" w:eastAsia="Times New Roman" w:hAnsi="Times New Roman" w:cs="Times New Roman"/>
                <w:color w:val="000000"/>
                <w:spacing w:val="4"/>
                <w:sz w:val="23"/>
                <w:szCs w:val="23"/>
                <w:lang w:val="kk-KZ"/>
              </w:rPr>
              <w:t>Егде жастағы (&gt;50 жас), бастапқы деңгейінің төмендігі және ФВЛЖ азаюы (&lt;55%), паклитакселмен, трастузумаб препаратымен емдеуді бастағанға дейін немесе одан кейін ФВЛЖ төмен көрсеткіштері және алдыңғы немесе бір мезгілде антигипертензивті дәрілік заттарды қолдану кардиологиялық оқиғалардың туындау қаупінің факторлары болды. Адъювантты химиотерапия аяқталғаннан кейін трастузумабты алған емделушілерде жүректің дисфункция қаупі трастузумаб препаратымен емдеу басталғанға дейін енгізілген антрациклиннің жоғары кумулятивті дозасымен және дене салмағының жоғары индексімен (ДСИ&gt;25кг/м2) ұштасқан.</w:t>
            </w:r>
          </w:p>
          <w:p w:rsidR="00F44E5C" w:rsidRPr="00F44E5C" w:rsidRDefault="00F44E5C" w:rsidP="00BE799C">
            <w:pPr>
              <w:spacing w:after="12" w:line="200" w:lineRule="exact"/>
              <w:jc w:val="both"/>
              <w:rPr>
                <w:rFonts w:ascii="Times New Roman" w:eastAsia="Times New Roman" w:hAnsi="Times New Roman" w:cs="Times New Roman"/>
                <w:color w:val="000000"/>
                <w:spacing w:val="2"/>
                <w:sz w:val="23"/>
                <w:szCs w:val="23"/>
                <w:lang w:val="kk-KZ"/>
              </w:rPr>
            </w:pPr>
          </w:p>
          <w:p w:rsidR="00F44E5C" w:rsidRDefault="00F44E5C" w:rsidP="00BE799C">
            <w:pPr>
              <w:widowControl w:val="0"/>
              <w:ind w:left="60" w:right="-20"/>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3"/>
                <w:sz w:val="23"/>
                <w:szCs w:val="23"/>
                <w:lang w:val="kk-KZ"/>
              </w:rPr>
              <w:t xml:space="preserve">Өкпе реакциясы </w:t>
            </w:r>
          </w:p>
          <w:p w:rsidR="00F44E5C" w:rsidRPr="0029518D" w:rsidRDefault="00F44E5C" w:rsidP="00BE799C">
            <w:pPr>
              <w:widowControl w:val="0"/>
              <w:spacing w:before="3"/>
              <w:ind w:right="-143"/>
              <w:rPr>
                <w:rFonts w:ascii="Times New Roman" w:eastAsia="Times New Roman" w:hAnsi="Times New Roman" w:cs="Times New Roman"/>
                <w:color w:val="000000"/>
                <w:spacing w:val="2"/>
                <w:sz w:val="23"/>
                <w:szCs w:val="23"/>
                <w:lang w:val="kk-KZ"/>
              </w:rPr>
            </w:pPr>
            <w:r>
              <w:rPr>
                <w:rFonts w:ascii="Times New Roman" w:eastAsia="Times New Roman" w:hAnsi="Times New Roman" w:cs="Times New Roman"/>
                <w:color w:val="000000"/>
                <w:spacing w:val="2"/>
                <w:sz w:val="23"/>
                <w:szCs w:val="23"/>
                <w:lang w:val="kk-KZ"/>
              </w:rPr>
              <w:t>Өкпенің ауыр жанама әсерлері  маркетингтен кейінгі кезеңде  трастузумаба  болады. Осы оқиға  кей кезде  өлім жағдайына  әкеледі және  инфузиялық реакция ретінде  сонымен қатар  ұзақ босап шығатын түрдегі  реакция   ретіндегі симптомдар  болып табылуы мүмкін.  Одан басқа өкпенің интерстициалды ауруы  жағдайлары тіркелген, сондай-ақ     өкпенің инфильтраты, жіті респираторлық дистресс-синдромы, пневмонаия, пневмонит, өкпеқаптың айналып кетуі, респираторлы дистресс, өкпенің жіті ісінуі және тыныс алу функциясының жетіспеушілігі тіркелген.</w:t>
            </w:r>
          </w:p>
          <w:p w:rsidR="00F44E5C" w:rsidRPr="0029518D" w:rsidRDefault="00F44E5C" w:rsidP="00BE799C">
            <w:pPr>
              <w:spacing w:line="240" w:lineRule="exact"/>
              <w:rPr>
                <w:rFonts w:ascii="Times New Roman" w:eastAsia="Times New Roman" w:hAnsi="Times New Roman" w:cs="Times New Roman"/>
                <w:sz w:val="24"/>
                <w:szCs w:val="24"/>
                <w:lang w:val="kk-KZ"/>
              </w:rPr>
            </w:pPr>
          </w:p>
          <w:p w:rsidR="00F44E5C" w:rsidRPr="0081430C" w:rsidRDefault="00F44E5C" w:rsidP="00BE799C">
            <w:pPr>
              <w:widowControl w:val="0"/>
              <w:tabs>
                <w:tab w:val="left" w:pos="4345"/>
              </w:tabs>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Интерстициалды ассоцияланған қауіп факторлары  алдыңғы және бір мезгілде ісікке қарсы  терапияны қолдану, мысалы онкологиялық процесті  және қосарласқан ауруларды    таксандар, </w:t>
            </w:r>
            <w:r w:rsidRPr="0081430C">
              <w:rPr>
                <w:rFonts w:ascii="Times New Roman" w:eastAsia="Times New Roman" w:hAnsi="Times New Roman" w:cs="Times New Roman"/>
                <w:color w:val="000000"/>
                <w:spacing w:val="2"/>
                <w:sz w:val="23"/>
                <w:szCs w:val="23"/>
                <w:lang w:val="kk-KZ"/>
              </w:rPr>
              <w:t>ге</w:t>
            </w:r>
            <w:r w:rsidRPr="0081430C">
              <w:rPr>
                <w:rFonts w:ascii="Times New Roman" w:eastAsia="Times New Roman" w:hAnsi="Times New Roman" w:cs="Times New Roman"/>
                <w:color w:val="000000"/>
                <w:spacing w:val="3"/>
                <w:sz w:val="23"/>
                <w:szCs w:val="23"/>
                <w:lang w:val="kk-KZ"/>
              </w:rPr>
              <w:t>мц</w:t>
            </w:r>
            <w:r w:rsidRPr="0081430C">
              <w:rPr>
                <w:rFonts w:ascii="Times New Roman" w:eastAsia="Times New Roman" w:hAnsi="Times New Roman" w:cs="Times New Roman"/>
                <w:color w:val="000000"/>
                <w:spacing w:val="2"/>
                <w:sz w:val="23"/>
                <w:szCs w:val="23"/>
                <w:lang w:val="kk-KZ"/>
              </w:rPr>
              <w:t>итаб</w:t>
            </w:r>
            <w:r w:rsidRPr="0081430C">
              <w:rPr>
                <w:rFonts w:ascii="Times New Roman" w:eastAsia="Times New Roman" w:hAnsi="Times New Roman" w:cs="Times New Roman"/>
                <w:color w:val="000000"/>
                <w:spacing w:val="3"/>
                <w:sz w:val="23"/>
                <w:szCs w:val="23"/>
                <w:lang w:val="kk-KZ"/>
              </w:rPr>
              <w:t>и</w:t>
            </w:r>
            <w:r w:rsidRPr="0081430C">
              <w:rPr>
                <w:rFonts w:ascii="Times New Roman" w:eastAsia="Times New Roman" w:hAnsi="Times New Roman" w:cs="Times New Roman"/>
                <w:color w:val="000000"/>
                <w:spacing w:val="2"/>
                <w:sz w:val="23"/>
                <w:szCs w:val="23"/>
                <w:lang w:val="kk-KZ"/>
              </w:rPr>
              <w:t>н</w:t>
            </w:r>
            <w:r w:rsidRPr="0081430C">
              <w:rPr>
                <w:rFonts w:ascii="Times New Roman" w:eastAsia="Times New Roman" w:hAnsi="Times New Roman" w:cs="Times New Roman"/>
                <w:color w:val="000000"/>
                <w:sz w:val="23"/>
                <w:szCs w:val="23"/>
                <w:lang w:val="kk-KZ"/>
              </w:rPr>
              <w:t>,</w:t>
            </w:r>
            <w:r w:rsidRPr="0081430C">
              <w:rPr>
                <w:rFonts w:ascii="Times New Roman" w:eastAsia="Times New Roman" w:hAnsi="Times New Roman" w:cs="Times New Roman"/>
                <w:color w:val="000000"/>
                <w:spacing w:val="11"/>
                <w:sz w:val="23"/>
                <w:szCs w:val="23"/>
                <w:lang w:val="kk-KZ"/>
              </w:rPr>
              <w:t xml:space="preserve"> </w:t>
            </w:r>
            <w:r w:rsidRPr="0081430C">
              <w:rPr>
                <w:rFonts w:ascii="Times New Roman" w:eastAsia="Times New Roman" w:hAnsi="Times New Roman" w:cs="Times New Roman"/>
                <w:color w:val="000000"/>
                <w:spacing w:val="2"/>
                <w:sz w:val="23"/>
                <w:szCs w:val="23"/>
                <w:lang w:val="kk-KZ"/>
              </w:rPr>
              <w:t>в</w:t>
            </w:r>
            <w:r w:rsidRPr="0081430C">
              <w:rPr>
                <w:rFonts w:ascii="Times New Roman" w:eastAsia="Times New Roman" w:hAnsi="Times New Roman" w:cs="Times New Roman"/>
                <w:color w:val="000000"/>
                <w:spacing w:val="3"/>
                <w:sz w:val="23"/>
                <w:szCs w:val="23"/>
                <w:lang w:val="kk-KZ"/>
              </w:rPr>
              <w:t>ин</w:t>
            </w:r>
            <w:r w:rsidRPr="0081430C">
              <w:rPr>
                <w:rFonts w:ascii="Times New Roman" w:eastAsia="Times New Roman" w:hAnsi="Times New Roman" w:cs="Times New Roman"/>
                <w:color w:val="000000"/>
                <w:spacing w:val="2"/>
                <w:sz w:val="23"/>
                <w:szCs w:val="23"/>
                <w:lang w:val="kk-KZ"/>
              </w:rPr>
              <w:t>о</w:t>
            </w:r>
            <w:r w:rsidRPr="0081430C">
              <w:rPr>
                <w:rFonts w:ascii="Times New Roman" w:eastAsia="Times New Roman" w:hAnsi="Times New Roman" w:cs="Times New Roman"/>
                <w:color w:val="000000"/>
                <w:spacing w:val="3"/>
                <w:sz w:val="23"/>
                <w:szCs w:val="23"/>
                <w:lang w:val="kk-KZ"/>
              </w:rPr>
              <w:t>р</w:t>
            </w:r>
            <w:r w:rsidRPr="0081430C">
              <w:rPr>
                <w:rFonts w:ascii="Times New Roman" w:eastAsia="Times New Roman" w:hAnsi="Times New Roman" w:cs="Times New Roman"/>
                <w:color w:val="000000"/>
                <w:spacing w:val="2"/>
                <w:sz w:val="23"/>
                <w:szCs w:val="23"/>
                <w:lang w:val="kk-KZ"/>
              </w:rPr>
              <w:t>ел</w:t>
            </w:r>
            <w:r w:rsidRPr="0081430C">
              <w:rPr>
                <w:rFonts w:ascii="Times New Roman" w:eastAsia="Times New Roman" w:hAnsi="Times New Roman" w:cs="Times New Roman"/>
                <w:color w:val="000000"/>
                <w:spacing w:val="3"/>
                <w:sz w:val="23"/>
                <w:szCs w:val="23"/>
                <w:lang w:val="kk-KZ"/>
              </w:rPr>
              <w:t>би</w:t>
            </w:r>
            <w:r w:rsidRPr="0081430C">
              <w:rPr>
                <w:rFonts w:ascii="Times New Roman" w:eastAsia="Times New Roman" w:hAnsi="Times New Roman" w:cs="Times New Roman"/>
                <w:color w:val="000000"/>
                <w:spacing w:val="2"/>
                <w:sz w:val="23"/>
                <w:szCs w:val="23"/>
                <w:lang w:val="kk-KZ"/>
              </w:rPr>
              <w:t>н</w:t>
            </w:r>
            <w:r>
              <w:rPr>
                <w:rFonts w:ascii="Times New Roman" w:eastAsia="Times New Roman" w:hAnsi="Times New Roman" w:cs="Times New Roman"/>
                <w:color w:val="000000"/>
                <w:spacing w:val="2"/>
                <w:sz w:val="23"/>
                <w:szCs w:val="23"/>
                <w:lang w:val="kk-KZ"/>
              </w:rPr>
              <w:t xml:space="preserve"> терапиясын және сәулелік терапияны қамтиды.  Онкологиялық процестің  өршуінің  салдарынан   және қосарласқан  аурулар салдарынан  асқынулар себептері  бойынша қалыпты жағдайда   демікпесі бар пациенттер  өкпе оқиғасының  туындауының жоғары қаупі бар  топта болады.  </w:t>
            </w:r>
            <w:r>
              <w:rPr>
                <w:rFonts w:ascii="Times New Roman" w:eastAsia="Times New Roman" w:hAnsi="Times New Roman" w:cs="Times New Roman"/>
                <w:color w:val="000000"/>
                <w:sz w:val="23"/>
                <w:szCs w:val="23"/>
                <w:lang w:val="kk-KZ"/>
              </w:rPr>
              <w:t>Мұндай пациенттерге</w:t>
            </w:r>
            <w:r w:rsidRPr="0081430C">
              <w:rPr>
                <w:rFonts w:ascii="Times New Roman" w:eastAsia="Times New Roman" w:hAnsi="Times New Roman" w:cs="Times New Roman"/>
                <w:color w:val="000000"/>
                <w:spacing w:val="2"/>
                <w:sz w:val="23"/>
                <w:szCs w:val="23"/>
                <w:lang w:val="kk-KZ"/>
              </w:rPr>
              <w:t xml:space="preserve"> тра</w:t>
            </w:r>
            <w:r w:rsidRPr="0081430C">
              <w:rPr>
                <w:rFonts w:ascii="Times New Roman" w:eastAsia="Times New Roman" w:hAnsi="Times New Roman" w:cs="Times New Roman"/>
                <w:color w:val="000000"/>
                <w:spacing w:val="1"/>
                <w:sz w:val="23"/>
                <w:szCs w:val="23"/>
                <w:lang w:val="kk-KZ"/>
              </w:rPr>
              <w:t>с</w:t>
            </w:r>
            <w:r w:rsidRPr="0081430C">
              <w:rPr>
                <w:rFonts w:ascii="Times New Roman" w:eastAsia="Times New Roman" w:hAnsi="Times New Roman" w:cs="Times New Roman"/>
                <w:color w:val="000000"/>
                <w:spacing w:val="2"/>
                <w:sz w:val="23"/>
                <w:szCs w:val="23"/>
                <w:lang w:val="kk-KZ"/>
              </w:rPr>
              <w:t>ту</w:t>
            </w:r>
            <w:r w:rsidRPr="0081430C">
              <w:rPr>
                <w:rFonts w:ascii="Times New Roman" w:eastAsia="Times New Roman" w:hAnsi="Times New Roman" w:cs="Times New Roman"/>
                <w:color w:val="000000"/>
                <w:spacing w:val="1"/>
                <w:sz w:val="23"/>
                <w:szCs w:val="23"/>
                <w:lang w:val="kk-KZ"/>
              </w:rPr>
              <w:t>з</w:t>
            </w:r>
            <w:r w:rsidRPr="0081430C">
              <w:rPr>
                <w:rFonts w:ascii="Times New Roman" w:eastAsia="Times New Roman" w:hAnsi="Times New Roman" w:cs="Times New Roman"/>
                <w:color w:val="000000"/>
                <w:spacing w:val="2"/>
                <w:sz w:val="23"/>
                <w:szCs w:val="23"/>
                <w:lang w:val="kk-KZ"/>
              </w:rPr>
              <w:t>умаб</w:t>
            </w:r>
            <w:r>
              <w:rPr>
                <w:rFonts w:ascii="Times New Roman" w:eastAsia="Times New Roman" w:hAnsi="Times New Roman" w:cs="Times New Roman"/>
                <w:color w:val="000000"/>
                <w:spacing w:val="-4"/>
                <w:sz w:val="23"/>
                <w:szCs w:val="23"/>
                <w:lang w:val="kk-KZ"/>
              </w:rPr>
              <w:t xml:space="preserve"> препаратын тағайындауға болмайды </w:t>
            </w:r>
          </w:p>
          <w:p w:rsidR="00F44E5C" w:rsidRPr="0081430C" w:rsidRDefault="00F44E5C" w:rsidP="00BE799C">
            <w:pPr>
              <w:spacing w:after="19" w:line="140" w:lineRule="exact"/>
              <w:rPr>
                <w:rFonts w:ascii="Times New Roman" w:eastAsia="Times New Roman" w:hAnsi="Times New Roman" w:cs="Times New Roman"/>
                <w:position w:val="21"/>
                <w:sz w:val="14"/>
                <w:szCs w:val="14"/>
                <w:lang w:val="kk-KZ"/>
              </w:rPr>
            </w:pPr>
          </w:p>
          <w:p w:rsidR="00F44E5C" w:rsidRDefault="00F44E5C" w:rsidP="00BE799C">
            <w:pPr>
              <w:widowControl w:val="0"/>
              <w:ind w:left="60" w:right="-20"/>
              <w:rPr>
                <w:rFonts w:ascii="Times New Roman" w:eastAsia="Times New Roman" w:hAnsi="Times New Roman" w:cs="Times New Roman"/>
                <w:i/>
                <w:iCs/>
                <w:color w:val="000000"/>
                <w:sz w:val="23"/>
                <w:szCs w:val="23"/>
                <w:lang w:val="kk-KZ"/>
              </w:rPr>
            </w:pPr>
            <w:r>
              <w:rPr>
                <w:rFonts w:ascii="Times New Roman" w:eastAsia="Times New Roman" w:hAnsi="Times New Roman" w:cs="Times New Roman"/>
                <w:i/>
                <w:iCs/>
                <w:color w:val="000000"/>
                <w:sz w:val="23"/>
                <w:szCs w:val="23"/>
                <w:lang w:val="kk-KZ"/>
              </w:rPr>
              <w:t>Жүктілік пен  емшек сүтімен қоректендіру</w:t>
            </w:r>
            <w:r w:rsidRPr="00412DCD">
              <w:rPr>
                <w:rFonts w:ascii="Times New Roman" w:eastAsia="Times New Roman" w:hAnsi="Times New Roman" w:cs="Times New Roman"/>
                <w:i/>
                <w:iCs/>
                <w:color w:val="000000"/>
                <w:sz w:val="23"/>
                <w:szCs w:val="23"/>
                <w:lang w:val="kk-KZ"/>
              </w:rPr>
              <w:t xml:space="preserve"> </w:t>
            </w:r>
          </w:p>
          <w:p w:rsidR="00F44E5C" w:rsidRPr="00412DCD" w:rsidRDefault="00F44E5C" w:rsidP="00BE799C">
            <w:pPr>
              <w:spacing w:after="19" w:line="140" w:lineRule="exact"/>
              <w:rPr>
                <w:rFonts w:ascii="Times New Roman" w:eastAsia="Times New Roman" w:hAnsi="Times New Roman" w:cs="Times New Roman"/>
                <w:sz w:val="14"/>
                <w:szCs w:val="14"/>
                <w:lang w:val="kk-KZ"/>
              </w:rPr>
            </w:pPr>
          </w:p>
          <w:p w:rsidR="00F44E5C" w:rsidRPr="00065E14" w:rsidRDefault="00F44E5C" w:rsidP="00BE799C">
            <w:pPr>
              <w:widowControl w:val="0"/>
              <w:ind w:left="60" w:right="-20"/>
              <w:rPr>
                <w:rFonts w:ascii="Times New Roman" w:eastAsia="Times New Roman" w:hAnsi="Times New Roman" w:cs="Times New Roman"/>
                <w:color w:val="000000"/>
                <w:sz w:val="23"/>
                <w:szCs w:val="23"/>
                <w:lang w:val="kk-KZ"/>
              </w:rPr>
            </w:pPr>
            <w:r w:rsidRPr="00412DCD">
              <w:rPr>
                <w:rFonts w:ascii="Times New Roman" w:eastAsia="Times New Roman" w:hAnsi="Times New Roman" w:cs="Times New Roman"/>
                <w:color w:val="000000"/>
                <w:spacing w:val="1"/>
                <w:sz w:val="23"/>
                <w:szCs w:val="23"/>
                <w:lang w:val="kk-KZ"/>
              </w:rPr>
              <w:t>Т</w:t>
            </w:r>
            <w:r w:rsidRPr="00412DCD">
              <w:rPr>
                <w:rFonts w:ascii="Times New Roman" w:eastAsia="Times New Roman" w:hAnsi="Times New Roman" w:cs="Times New Roman"/>
                <w:color w:val="000000"/>
                <w:spacing w:val="2"/>
                <w:sz w:val="23"/>
                <w:szCs w:val="23"/>
                <w:lang w:val="kk-KZ"/>
              </w:rPr>
              <w:t>р</w:t>
            </w:r>
            <w:r w:rsidRPr="00412DCD">
              <w:rPr>
                <w:rFonts w:ascii="Times New Roman" w:eastAsia="Times New Roman" w:hAnsi="Times New Roman" w:cs="Times New Roman"/>
                <w:color w:val="000000"/>
                <w:spacing w:val="1"/>
                <w:sz w:val="23"/>
                <w:szCs w:val="23"/>
                <w:lang w:val="kk-KZ"/>
              </w:rPr>
              <w:t>ас</w:t>
            </w:r>
            <w:r w:rsidRPr="00412DCD">
              <w:rPr>
                <w:rFonts w:ascii="Times New Roman" w:eastAsia="Times New Roman" w:hAnsi="Times New Roman" w:cs="Times New Roman"/>
                <w:color w:val="000000"/>
                <w:spacing w:val="2"/>
                <w:sz w:val="23"/>
                <w:szCs w:val="23"/>
                <w:lang w:val="kk-KZ"/>
              </w:rPr>
              <w:t>т</w:t>
            </w:r>
            <w:r w:rsidRPr="00412DCD">
              <w:rPr>
                <w:rFonts w:ascii="Times New Roman" w:eastAsia="Times New Roman" w:hAnsi="Times New Roman" w:cs="Times New Roman"/>
                <w:color w:val="000000"/>
                <w:spacing w:val="1"/>
                <w:sz w:val="23"/>
                <w:szCs w:val="23"/>
                <w:lang w:val="kk-KZ"/>
              </w:rPr>
              <w:t>узу</w:t>
            </w:r>
            <w:r w:rsidRPr="00412DCD">
              <w:rPr>
                <w:rFonts w:ascii="Times New Roman" w:eastAsia="Times New Roman" w:hAnsi="Times New Roman" w:cs="Times New Roman"/>
                <w:color w:val="000000"/>
                <w:spacing w:val="2"/>
                <w:sz w:val="23"/>
                <w:szCs w:val="23"/>
                <w:lang w:val="kk-KZ"/>
              </w:rPr>
              <w:t>м</w:t>
            </w:r>
            <w:r w:rsidRPr="00412DCD">
              <w:rPr>
                <w:rFonts w:ascii="Times New Roman" w:eastAsia="Times New Roman" w:hAnsi="Times New Roman" w:cs="Times New Roman"/>
                <w:color w:val="000000"/>
                <w:spacing w:val="1"/>
                <w:sz w:val="23"/>
                <w:szCs w:val="23"/>
                <w:lang w:val="kk-KZ"/>
              </w:rPr>
              <w:t>а</w:t>
            </w:r>
            <w:r w:rsidRPr="00412DCD">
              <w:rPr>
                <w:rFonts w:ascii="Times New Roman" w:eastAsia="Times New Roman" w:hAnsi="Times New Roman" w:cs="Times New Roman"/>
                <w:color w:val="000000"/>
                <w:spacing w:val="2"/>
                <w:sz w:val="23"/>
                <w:szCs w:val="23"/>
                <w:lang w:val="kk-KZ"/>
              </w:rPr>
              <w:t>б</w:t>
            </w:r>
            <w:r>
              <w:rPr>
                <w:rFonts w:ascii="Times New Roman" w:eastAsia="Times New Roman" w:hAnsi="Times New Roman" w:cs="Times New Roman"/>
                <w:color w:val="000000"/>
                <w:spacing w:val="2"/>
                <w:sz w:val="23"/>
                <w:szCs w:val="23"/>
                <w:lang w:val="kk-KZ"/>
              </w:rPr>
              <w:t>ты жүктілік кезінде  қолдануға болмайды</w:t>
            </w:r>
            <w:r w:rsidRPr="00412DCD">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 xml:space="preserve">егер тек қана анасы үшін болуы мүмкін пайдасы ұрыққа  келуі мүмкін қауіптен аспайды. </w:t>
            </w:r>
          </w:p>
          <w:p w:rsidR="00F44E5C" w:rsidRPr="00412DCD" w:rsidRDefault="00F44E5C" w:rsidP="00BE799C">
            <w:pPr>
              <w:spacing w:after="19" w:line="140" w:lineRule="exact"/>
              <w:rPr>
                <w:rFonts w:ascii="Times New Roman" w:eastAsia="Times New Roman" w:hAnsi="Times New Roman" w:cs="Times New Roman"/>
                <w:sz w:val="14"/>
                <w:szCs w:val="14"/>
                <w:lang w:val="kk-KZ"/>
              </w:rPr>
            </w:pPr>
          </w:p>
          <w:p w:rsidR="00F44E5C" w:rsidRDefault="00F44E5C" w:rsidP="00BE799C">
            <w:pPr>
              <w:rPr>
                <w:lang w:val="kk-KZ"/>
              </w:rPr>
            </w:pPr>
            <w:r>
              <w:rPr>
                <w:lang w:val="kk-KZ"/>
              </w:rPr>
              <w:t xml:space="preserve">Маркетингктен кейінгі кезеңде трастузумаб алып жүрген жүкті әйелдерде    ұрықтың  бүйрегінің  дамуының  бұзылуы жағдайлары және/немесе  олигогидрамнионмен үйлесімде  функцияларының бұзылуы  жағдайлары тіркелген, олардың кейбіреулері  ұрықта өкпе гипоплазиясымен қайтыс болуы  тұспа тұс келеді.  бала туу жасындағы әйелдерге  трастузумаба препаратын қолдану кезінде және қолдану ағымында   котрацепцияның  тиімді </w:t>
            </w:r>
            <w:r>
              <w:rPr>
                <w:lang w:val="kk-KZ"/>
              </w:rPr>
              <w:lastRenderedPageBreak/>
              <w:t xml:space="preserve">әдісін пйдалану керек,  емді аяқтағаннан кейін  кемінде 7 ай.  Жүкті әйелдер  ұрық үшін болуы мүмкін қаупі туралы  хабардар етілуі тиіс. Егер жүкті әйел  трастузумаба препаратымен ем алса,  оларды толық егжей-тегжейлі бақылау ұсынылады. </w:t>
            </w:r>
          </w:p>
          <w:p w:rsidR="00F44E5C" w:rsidRDefault="00F44E5C" w:rsidP="00BE799C">
            <w:pPr>
              <w:rPr>
                <w:lang w:val="kk-KZ"/>
              </w:rPr>
            </w:pPr>
          </w:p>
          <w:p w:rsidR="00F44E5C" w:rsidRDefault="00F44E5C" w:rsidP="00BE799C">
            <w:pPr>
              <w:rPr>
                <w:lang w:val="kk-KZ"/>
              </w:rPr>
            </w:pPr>
            <w:r>
              <w:rPr>
                <w:lang w:val="kk-KZ"/>
              </w:rPr>
              <w:t xml:space="preserve">Трастузумаба   жүкті әйелдер қолданған кезде ұрпақты болу функциясын бұзуы мүмкін бе ол белгісіз. </w:t>
            </w:r>
          </w:p>
          <w:p w:rsidR="00F44E5C" w:rsidRDefault="00F44E5C" w:rsidP="00BE799C">
            <w:pPr>
              <w:rPr>
                <w:lang w:val="kk-KZ"/>
              </w:rPr>
            </w:pPr>
            <w:r>
              <w:rPr>
                <w:lang w:val="kk-KZ"/>
              </w:rPr>
              <w:t>Емшек сүтімен қоректендіру</w:t>
            </w:r>
          </w:p>
          <w:p w:rsidR="00F44E5C" w:rsidRDefault="00F44E5C" w:rsidP="00BE799C">
            <w:pPr>
              <w:rPr>
                <w:lang w:val="kk-KZ"/>
              </w:rPr>
            </w:pPr>
          </w:p>
          <w:p w:rsidR="00F44E5C" w:rsidRPr="005E0DAD" w:rsidRDefault="00F44E5C" w:rsidP="00BE799C">
            <w:pPr>
              <w:rPr>
                <w:lang w:val="kk-KZ"/>
              </w:rPr>
            </w:pPr>
            <w:r>
              <w:rPr>
                <w:lang w:val="kk-KZ"/>
              </w:rPr>
              <w:t xml:space="preserve">Трастузумаб адам сүтімен бөліне ме белгісіз.  Сонымен қатар себебі адами </w:t>
            </w:r>
            <w:r w:rsidRPr="003E667A">
              <w:rPr>
                <w:lang w:val="kk-KZ"/>
              </w:rPr>
              <w:t>IgG</w:t>
            </w:r>
            <w:r>
              <w:rPr>
                <w:lang w:val="kk-KZ"/>
              </w:rPr>
              <w:t xml:space="preserve">   сарысудан емшек сүтіне түседі, ал әлеуетті тұрғыдан қауіп  белгісіз, әйелдерге трастузумаба препаратының терапиясы  кезінде емшек сүтімен  қоректендіру керек емес.  </w:t>
            </w:r>
          </w:p>
          <w:p w:rsidR="00F44E5C" w:rsidRPr="00F7450F" w:rsidRDefault="00F44E5C" w:rsidP="00BE799C">
            <w:pPr>
              <w:spacing w:after="12" w:line="200" w:lineRule="exact"/>
              <w:jc w:val="both"/>
              <w:rPr>
                <w:rFonts w:ascii="Times New Roman" w:eastAsia="Times New Roman" w:hAnsi="Times New Roman" w:cs="Times New Roman"/>
                <w:color w:val="000000"/>
                <w:spacing w:val="2"/>
                <w:sz w:val="23"/>
                <w:szCs w:val="23"/>
                <w:lang w:val="kk-KZ"/>
              </w:rPr>
            </w:pPr>
          </w:p>
          <w:p w:rsidR="00F44E5C" w:rsidRPr="00F7450F" w:rsidRDefault="00F44E5C" w:rsidP="00BE799C">
            <w:pPr>
              <w:rPr>
                <w:lang w:val="kk-KZ"/>
              </w:rPr>
            </w:pPr>
          </w:p>
          <w:p w:rsidR="00F44E5C" w:rsidRPr="00F7450F" w:rsidRDefault="00F44E5C" w:rsidP="00BE799C">
            <w:pPr>
              <w:rPr>
                <w:lang w:val="kk-KZ"/>
              </w:rPr>
            </w:pPr>
          </w:p>
        </w:tc>
      </w:tr>
      <w:tr w:rsidR="00F44E5C" w:rsidRPr="00F7450F" w:rsidTr="00BE799C">
        <w:tc>
          <w:tcPr>
            <w:tcW w:w="1413" w:type="dxa"/>
          </w:tcPr>
          <w:p w:rsidR="00F44E5C" w:rsidRPr="00F7450F" w:rsidRDefault="00F44E5C" w:rsidP="00BE799C">
            <w:pPr>
              <w:rPr>
                <w:lang w:val="kk-KZ"/>
              </w:rPr>
            </w:pPr>
            <w:r>
              <w:rPr>
                <w:lang w:val="kk-KZ"/>
              </w:rPr>
              <w:lastRenderedPageBreak/>
              <w:t>2.5</w:t>
            </w:r>
          </w:p>
        </w:tc>
        <w:tc>
          <w:tcPr>
            <w:tcW w:w="2551" w:type="dxa"/>
          </w:tcPr>
          <w:p w:rsidR="00F44E5C" w:rsidRPr="00F7450F" w:rsidRDefault="00F44E5C" w:rsidP="00BE799C">
            <w:pPr>
              <w:rPr>
                <w:lang w:val="kk-KZ"/>
              </w:rPr>
            </w:pPr>
            <w:r>
              <w:rPr>
                <w:rFonts w:ascii="Times New Roman" w:eastAsia="Times New Roman" w:hAnsi="Times New Roman" w:cs="Times New Roman"/>
                <w:color w:val="000000"/>
                <w:spacing w:val="3"/>
                <w:sz w:val="23"/>
                <w:szCs w:val="23"/>
                <w:lang w:val="kk-KZ"/>
              </w:rPr>
              <w:t>Фармакологиялық қадағалау жүйесінің сипаттамасы</w:t>
            </w:r>
          </w:p>
        </w:tc>
        <w:tc>
          <w:tcPr>
            <w:tcW w:w="5381" w:type="dxa"/>
          </w:tcPr>
          <w:p w:rsidR="00F44E5C" w:rsidRPr="003C7B58" w:rsidRDefault="00F44E5C" w:rsidP="00BE799C">
            <w:pPr>
              <w:widowControl w:val="0"/>
              <w:ind w:left="60" w:right="36"/>
              <w:rPr>
                <w:rFonts w:ascii="Times New Roman" w:eastAsia="Times New Roman" w:hAnsi="Times New Roman" w:cs="Times New Roman"/>
                <w:color w:val="000000"/>
                <w:spacing w:val="2"/>
                <w:sz w:val="23"/>
                <w:szCs w:val="23"/>
              </w:rPr>
            </w:pPr>
            <w:r w:rsidRPr="003C7B58">
              <w:rPr>
                <w:rFonts w:ascii="Times New Roman" w:eastAsia="Times New Roman" w:hAnsi="Times New Roman" w:cs="Times New Roman"/>
                <w:color w:val="000000"/>
                <w:spacing w:val="2"/>
                <w:sz w:val="23"/>
                <w:szCs w:val="23"/>
              </w:rPr>
              <w:t>Компания Селлтрион Хэлскеа Ко. Лтд. Фармакоқадағалау үшін жауапты болатын өнімді тіркеуге өтініш беруші осымен фармакоқадағалау жөніндегі уәкілетті тұлғаның өз қарамағында бар екенін және ол үшін фармакоқадағалау жүйесін пайдалана отырып, өніммен болатын кез келген жанама реакциялар туралы жинау және хабарлау үшін қажетті құралдары бар екенін мәлімдейді.</w:t>
            </w:r>
          </w:p>
          <w:p w:rsidR="00F44E5C" w:rsidRPr="003C7B58" w:rsidRDefault="00F44E5C" w:rsidP="00BE799C">
            <w:pPr>
              <w:widowControl w:val="0"/>
              <w:ind w:left="60" w:right="36"/>
              <w:rPr>
                <w:rFonts w:ascii="Times New Roman" w:eastAsia="Times New Roman" w:hAnsi="Times New Roman" w:cs="Times New Roman"/>
                <w:color w:val="000000"/>
                <w:spacing w:val="2"/>
                <w:sz w:val="23"/>
                <w:szCs w:val="23"/>
              </w:rPr>
            </w:pPr>
            <w:r w:rsidRPr="003C7B58">
              <w:rPr>
                <w:rFonts w:ascii="Times New Roman" w:eastAsia="Times New Roman" w:hAnsi="Times New Roman" w:cs="Times New Roman"/>
                <w:color w:val="000000"/>
                <w:spacing w:val="2"/>
                <w:sz w:val="23"/>
                <w:szCs w:val="23"/>
              </w:rPr>
              <w:t>Біз, Selltrio Хэлскеа Ко. Лтд. қазақстандық заңнаманың талаптарына сәйкес Қазақстанда фармакологиялық қадағалау бойынша міндеттер мен міндеттемелерді орындау үшін бізде қажетті ресурстар бар екеніне кепілдік береміз.</w:t>
            </w:r>
          </w:p>
          <w:p w:rsidR="00F44E5C" w:rsidRPr="003C7B58" w:rsidRDefault="00F44E5C" w:rsidP="00BE799C">
            <w:pPr>
              <w:widowControl w:val="0"/>
              <w:ind w:left="60" w:right="36"/>
              <w:rPr>
                <w:rFonts w:ascii="Times New Roman" w:eastAsia="Times New Roman" w:hAnsi="Times New Roman" w:cs="Times New Roman"/>
                <w:color w:val="000000"/>
                <w:spacing w:val="2"/>
                <w:sz w:val="23"/>
                <w:szCs w:val="23"/>
              </w:rPr>
            </w:pPr>
            <w:r w:rsidRPr="003C7B58">
              <w:rPr>
                <w:rFonts w:ascii="Times New Roman" w:eastAsia="Times New Roman" w:hAnsi="Times New Roman" w:cs="Times New Roman"/>
                <w:color w:val="000000"/>
                <w:spacing w:val="2"/>
                <w:sz w:val="23"/>
                <w:szCs w:val="23"/>
              </w:rPr>
              <w:t xml:space="preserve">Өтініш беруші Қазақстан Республикасының қолданыстағы заңнамасы негізінде фармакологиялық қадағалау жүйесіне ие, ал өтініш берушінің фармакологиялық қадағалау жүйесінің Мастер файлы Селлтрион Инк мекенжайы бойынша </w:t>
            </w:r>
            <w:proofErr w:type="gramStart"/>
            <w:r w:rsidRPr="003C7B58">
              <w:rPr>
                <w:rFonts w:ascii="Times New Roman" w:eastAsia="Times New Roman" w:hAnsi="Times New Roman" w:cs="Times New Roman"/>
                <w:color w:val="000000"/>
                <w:spacing w:val="2"/>
                <w:sz w:val="23"/>
                <w:szCs w:val="23"/>
              </w:rPr>
              <w:t>орналасқан.,</w:t>
            </w:r>
            <w:proofErr w:type="gramEnd"/>
          </w:p>
          <w:p w:rsidR="00F44E5C" w:rsidRPr="003C7B58" w:rsidRDefault="00F44E5C" w:rsidP="00BE799C">
            <w:pPr>
              <w:widowControl w:val="0"/>
              <w:ind w:left="60" w:right="36"/>
              <w:rPr>
                <w:rFonts w:ascii="Times New Roman" w:eastAsia="Times New Roman" w:hAnsi="Times New Roman" w:cs="Times New Roman"/>
                <w:color w:val="000000"/>
                <w:spacing w:val="2"/>
                <w:sz w:val="23"/>
                <w:szCs w:val="23"/>
              </w:rPr>
            </w:pPr>
            <w:r w:rsidRPr="003C7B58">
              <w:rPr>
                <w:rFonts w:ascii="Times New Roman" w:eastAsia="Times New Roman" w:hAnsi="Times New Roman" w:cs="Times New Roman"/>
                <w:color w:val="000000"/>
                <w:spacing w:val="2"/>
                <w:sz w:val="23"/>
                <w:szCs w:val="23"/>
              </w:rPr>
              <w:t>Фармакологиялық қадағалау бөлімі</w:t>
            </w:r>
          </w:p>
          <w:p w:rsidR="00F44E5C" w:rsidRPr="003C7B58" w:rsidRDefault="00F44E5C" w:rsidP="00BE799C">
            <w:pPr>
              <w:widowControl w:val="0"/>
              <w:ind w:left="60" w:right="36"/>
              <w:rPr>
                <w:rFonts w:ascii="Times New Roman" w:eastAsia="Times New Roman" w:hAnsi="Times New Roman" w:cs="Times New Roman"/>
                <w:color w:val="000000"/>
                <w:spacing w:val="2"/>
                <w:sz w:val="23"/>
                <w:szCs w:val="23"/>
              </w:rPr>
            </w:pPr>
            <w:r w:rsidRPr="003C7B58">
              <w:rPr>
                <w:rFonts w:ascii="Times New Roman" w:eastAsia="Times New Roman" w:hAnsi="Times New Roman" w:cs="Times New Roman"/>
                <w:color w:val="000000"/>
                <w:spacing w:val="2"/>
                <w:sz w:val="23"/>
                <w:szCs w:val="23"/>
              </w:rPr>
              <w:t>19, Академи-ро 51 бон-гил, Бұсу-гу, Инчхон,</w:t>
            </w:r>
          </w:p>
          <w:p w:rsidR="00F44E5C" w:rsidRPr="003C7B58" w:rsidRDefault="00F44E5C" w:rsidP="00BE799C">
            <w:pPr>
              <w:widowControl w:val="0"/>
              <w:ind w:left="60" w:right="36"/>
              <w:rPr>
                <w:rFonts w:ascii="Times New Roman" w:eastAsia="Times New Roman" w:hAnsi="Times New Roman" w:cs="Times New Roman"/>
                <w:color w:val="000000"/>
                <w:spacing w:val="2"/>
                <w:sz w:val="23"/>
                <w:szCs w:val="23"/>
              </w:rPr>
            </w:pPr>
            <w:r w:rsidRPr="003C7B58">
              <w:rPr>
                <w:rFonts w:ascii="Times New Roman" w:eastAsia="Times New Roman" w:hAnsi="Times New Roman" w:cs="Times New Roman"/>
                <w:color w:val="000000"/>
                <w:spacing w:val="2"/>
                <w:sz w:val="23"/>
                <w:szCs w:val="23"/>
              </w:rPr>
              <w:t>Корея Республикасы</w:t>
            </w:r>
          </w:p>
          <w:p w:rsidR="00F44E5C" w:rsidRPr="00F7450F" w:rsidRDefault="00F44E5C" w:rsidP="00BE799C">
            <w:pPr>
              <w:rPr>
                <w:lang w:val="kk-KZ"/>
              </w:rPr>
            </w:pPr>
            <w:r w:rsidRPr="003C7B58">
              <w:rPr>
                <w:rFonts w:ascii="Times New Roman" w:eastAsia="Times New Roman" w:hAnsi="Times New Roman" w:cs="Times New Roman"/>
                <w:color w:val="000000"/>
                <w:spacing w:val="2"/>
                <w:sz w:val="23"/>
                <w:szCs w:val="23"/>
              </w:rPr>
              <w:t>Өтініш берушінің фармакологиялық қадағалау жүйесінің Мастер файлының нөмірі-MFL4677.</w:t>
            </w:r>
          </w:p>
        </w:tc>
      </w:tr>
      <w:tr w:rsidR="00F44E5C" w:rsidRPr="00F7450F" w:rsidTr="00BE799C">
        <w:tc>
          <w:tcPr>
            <w:tcW w:w="1413" w:type="dxa"/>
          </w:tcPr>
          <w:p w:rsidR="00F44E5C" w:rsidRPr="00F7450F" w:rsidRDefault="00F44E5C" w:rsidP="00BE799C">
            <w:pPr>
              <w:rPr>
                <w:lang w:val="kk-KZ"/>
              </w:rPr>
            </w:pPr>
          </w:p>
        </w:tc>
        <w:tc>
          <w:tcPr>
            <w:tcW w:w="2551" w:type="dxa"/>
          </w:tcPr>
          <w:p w:rsidR="00F44E5C" w:rsidRPr="00F7450F" w:rsidRDefault="00F44E5C" w:rsidP="00BE799C">
            <w:pPr>
              <w:rPr>
                <w:lang w:val="kk-KZ"/>
              </w:rPr>
            </w:pPr>
            <w:r>
              <w:rPr>
                <w:rFonts w:ascii="Times New Roman" w:eastAsia="Times New Roman" w:hAnsi="Times New Roman" w:cs="Times New Roman"/>
                <w:color w:val="000000"/>
                <w:spacing w:val="3"/>
                <w:sz w:val="23"/>
                <w:szCs w:val="23"/>
                <w:lang w:val="kk-KZ"/>
              </w:rPr>
              <w:t xml:space="preserve">Клиникаға дейінгі </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2"/>
                <w:sz w:val="23"/>
                <w:szCs w:val="23"/>
                <w:lang w:val="kk-KZ"/>
              </w:rPr>
              <w:t>аспектілер</w:t>
            </w:r>
          </w:p>
        </w:tc>
        <w:tc>
          <w:tcPr>
            <w:tcW w:w="5381" w:type="dxa"/>
          </w:tcPr>
          <w:p w:rsidR="00F44E5C" w:rsidRPr="00F7450F" w:rsidRDefault="00F44E5C" w:rsidP="00BE799C">
            <w:pPr>
              <w:rPr>
                <w:lang w:val="kk-KZ"/>
              </w:rPr>
            </w:pPr>
          </w:p>
        </w:tc>
      </w:tr>
      <w:tr w:rsidR="00F44E5C" w:rsidRPr="00F7450F" w:rsidTr="00BE799C">
        <w:tc>
          <w:tcPr>
            <w:tcW w:w="1413" w:type="dxa"/>
          </w:tcPr>
          <w:p w:rsidR="00F44E5C" w:rsidRPr="00F7450F" w:rsidRDefault="00F44E5C" w:rsidP="00BE799C">
            <w:pPr>
              <w:rPr>
                <w:lang w:val="kk-KZ"/>
              </w:rPr>
            </w:pPr>
            <w:r>
              <w:rPr>
                <w:rFonts w:ascii="Times New Roman" w:eastAsia="Times New Roman" w:hAnsi="Times New Roman" w:cs="Times New Roman"/>
                <w:color w:val="000000"/>
                <w:sz w:val="23"/>
                <w:szCs w:val="23"/>
              </w:rPr>
              <w:t>2.6</w:t>
            </w:r>
          </w:p>
        </w:tc>
        <w:tc>
          <w:tcPr>
            <w:tcW w:w="2551" w:type="dxa"/>
          </w:tcPr>
          <w:p w:rsidR="00F44E5C" w:rsidRDefault="00F44E5C" w:rsidP="00BE799C">
            <w:pPr>
              <w:rPr>
                <w:rFonts w:ascii="Times New Roman" w:eastAsia="Times New Roman" w:hAnsi="Times New Roman" w:cs="Times New Roman"/>
                <w:color w:val="000000"/>
                <w:spacing w:val="3"/>
                <w:sz w:val="23"/>
                <w:szCs w:val="23"/>
                <w:lang w:val="kk-KZ"/>
              </w:rPr>
            </w:pPr>
            <w:r>
              <w:rPr>
                <w:rFonts w:ascii="Times New Roman" w:eastAsia="Times New Roman" w:hAnsi="Times New Roman" w:cs="Times New Roman"/>
                <w:color w:val="000000"/>
                <w:spacing w:val="4"/>
                <w:sz w:val="23"/>
                <w:szCs w:val="23"/>
                <w:lang w:val="kk-KZ"/>
              </w:rPr>
              <w:t>Босату талаптары</w:t>
            </w:r>
          </w:p>
        </w:tc>
        <w:tc>
          <w:tcPr>
            <w:tcW w:w="5381" w:type="dxa"/>
          </w:tcPr>
          <w:p w:rsidR="00F44E5C" w:rsidRPr="00F7450F" w:rsidRDefault="00F44E5C" w:rsidP="00BE799C">
            <w:pPr>
              <w:rPr>
                <w:lang w:val="kk-KZ"/>
              </w:rPr>
            </w:pPr>
            <w:r>
              <w:rPr>
                <w:rFonts w:ascii="Times New Roman" w:eastAsia="Times New Roman" w:hAnsi="Times New Roman" w:cs="Times New Roman"/>
                <w:color w:val="000000"/>
                <w:spacing w:val="5"/>
                <w:sz w:val="23"/>
                <w:szCs w:val="23"/>
                <w:lang w:val="kk-KZ"/>
              </w:rPr>
              <w:t>Рецепт бойынша</w:t>
            </w:r>
            <w:r>
              <w:rPr>
                <w:rFonts w:ascii="Times New Roman" w:eastAsia="Times New Roman" w:hAnsi="Times New Roman" w:cs="Times New Roman"/>
                <w:color w:val="000000"/>
                <w:sz w:val="23"/>
                <w:szCs w:val="23"/>
              </w:rPr>
              <w:t>.</w:t>
            </w:r>
          </w:p>
        </w:tc>
      </w:tr>
    </w:tbl>
    <w:p w:rsidR="00F92E4E" w:rsidRDefault="00B13E59">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33" name="drawingObject33"/>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F92E4E" w:rsidRPr="00D42201" w:rsidRDefault="00B13E59">
                            <w:pPr>
                              <w:spacing w:line="240" w:lineRule="auto"/>
                              <w:rPr>
                                <w:lang w:val="en-US"/>
                              </w:rPr>
                            </w:pPr>
                            <w:r w:rsidRPr="00D42201">
                              <w:rPr>
                                <w:b/>
                                <w:bCs/>
                                <w:color w:val="000000"/>
                                <w:sz w:val="24"/>
                                <w:szCs w:val="24"/>
                                <w:lang w:val="en-US"/>
                              </w:rPr>
                              <w:t>Created by the trial version of PDF Focus .Net 6.9.7.6!</w:t>
                            </w:r>
                          </w:p>
                          <w:p w:rsidR="00F92E4E" w:rsidRPr="00D42201" w:rsidRDefault="00B13E59">
                            <w:pPr>
                              <w:spacing w:line="240" w:lineRule="auto"/>
                              <w:rPr>
                                <w:lang w:val="en-US"/>
                              </w:rPr>
                            </w:pPr>
                            <w:r w:rsidRPr="00D42201">
                              <w:rPr>
                                <w:color w:val="000000"/>
                                <w:sz w:val="24"/>
                                <w:szCs w:val="24"/>
                                <w:lang w:val="en-US"/>
                              </w:rPr>
                              <w:t>The trial version sometimes inserts "trial" into random places.</w:t>
                            </w:r>
                          </w:p>
                          <w:p w:rsidR="00F92E4E" w:rsidRPr="00D42201" w:rsidRDefault="00BF0E13">
                            <w:pPr>
                              <w:spacing w:line="240" w:lineRule="auto"/>
                              <w:rPr>
                                <w:lang w:val="en-US"/>
                              </w:rPr>
                            </w:pPr>
                            <w:hyperlink r:id="rId4">
                              <w:r w:rsidR="00B13E59" w:rsidRPr="00D42201">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33"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" o:allowincell="f" stroked="f">
                <v:textbox>
                  <w:txbxContent>
                    <w:p w:rsidR="00F92E4E" w:rsidRPr="00D42201" w:rsidRDefault="00B13E59">
                      <w:pPr>
                        <w:spacing w:line="240" w:lineRule="auto"/>
                        <w:rPr>
                          <w:lang w:val="en-US"/>
                        </w:rPr>
                      </w:pPr>
                      <w:r w:rsidRPr="00D42201">
                        <w:rPr>
                          <w:b/>
                          <w:bCs/>
                          <w:color w:val="000000"/>
                          <w:sz w:val="24"/>
                          <w:szCs w:val="24"/>
                          <w:lang w:val="en-US"/>
                        </w:rPr>
                        <w:t>Created by the trial version of PDF Focus .Net 6.9.7.6!</w:t>
                      </w:r>
                    </w:p>
                    <w:p w:rsidR="00F92E4E" w:rsidRPr="00D42201" w:rsidRDefault="00B13E59">
                      <w:pPr>
                        <w:spacing w:line="240" w:lineRule="auto"/>
                        <w:rPr>
                          <w:lang w:val="en-US"/>
                        </w:rPr>
                      </w:pPr>
                      <w:r w:rsidRPr="00D42201">
                        <w:rPr>
                          <w:color w:val="000000"/>
                          <w:sz w:val="24"/>
                          <w:szCs w:val="24"/>
                          <w:lang w:val="en-US"/>
                        </w:rPr>
                        <w:t>The trial version sometimes inserts "trial" into random places.</w:t>
                      </w:r>
                    </w:p>
                    <w:p w:rsidR="00F92E4E" w:rsidRPr="00D42201" w:rsidRDefault="00F44E5C">
                      <w:pPr>
                        <w:spacing w:line="240" w:lineRule="auto"/>
                        <w:rPr>
                          <w:lang w:val="en-US"/>
                        </w:rPr>
                      </w:pPr>
                      <w:hyperlink r:id="rId5">
                        <w:r w:rsidR="00B13E59" w:rsidRPr="00D42201">
                          <w:rPr>
                            <w:color w:val="0000FF"/>
                            <w:sz w:val="24"/>
                            <w:szCs w:val="24"/>
                            <w:u w:val="single"/>
                            <w:lang w:val="en-US"/>
                          </w:rPr>
                          <w:t>Get the full version of PDF Focus .Net.</w:t>
                        </w:r>
                      </w:hyperlink>
                    </w:p>
                  </w:txbxContent>
                </v:textbox>
                <w10:wrap anchorx="page" anchory="page"/>
              </v:shape>
            </w:pict>
          </mc:Fallback>
        </mc:AlternateContent>
      </w:r>
    </w:p>
    <w:sectPr w:rsidR="00F92E4E">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4E"/>
    <w:rsid w:val="000D4903"/>
    <w:rsid w:val="001719DE"/>
    <w:rsid w:val="003C7B58"/>
    <w:rsid w:val="003D4F6B"/>
    <w:rsid w:val="00412DCD"/>
    <w:rsid w:val="0053629C"/>
    <w:rsid w:val="005815FD"/>
    <w:rsid w:val="005B50F9"/>
    <w:rsid w:val="00605A75"/>
    <w:rsid w:val="00691513"/>
    <w:rsid w:val="006E05FD"/>
    <w:rsid w:val="00732BCB"/>
    <w:rsid w:val="007A2B57"/>
    <w:rsid w:val="00843014"/>
    <w:rsid w:val="00A26E7D"/>
    <w:rsid w:val="00AB0DE8"/>
    <w:rsid w:val="00B00B4D"/>
    <w:rsid w:val="00B13E59"/>
    <w:rsid w:val="00BF0E13"/>
    <w:rsid w:val="00C25933"/>
    <w:rsid w:val="00CD2277"/>
    <w:rsid w:val="00D42201"/>
    <w:rsid w:val="00D95FF8"/>
    <w:rsid w:val="00DC06E9"/>
    <w:rsid w:val="00EC21D2"/>
    <w:rsid w:val="00F44E5C"/>
    <w:rsid w:val="00F9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1DA0B-5D77-49C7-B5EA-E6C65C4B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DCD"/>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2DCD"/>
    <w:rPr>
      <w:rFonts w:ascii="Segoe UI" w:hAnsi="Segoe UI" w:cs="Segoe UI"/>
      <w:sz w:val="18"/>
      <w:szCs w:val="18"/>
    </w:rPr>
  </w:style>
  <w:style w:type="table" w:styleId="a5">
    <w:name w:val="Table Grid"/>
    <w:basedOn w:val="a1"/>
    <w:uiPriority w:val="39"/>
    <w:rsid w:val="00F44E5C"/>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3357</Words>
  <Characters>19136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Айжан Алдангорова</cp:lastModifiedBy>
  <cp:revision>17</cp:revision>
  <cp:lastPrinted>2020-01-14T05:30:00Z</cp:lastPrinted>
  <dcterms:created xsi:type="dcterms:W3CDTF">2020-01-14T02:38:00Z</dcterms:created>
  <dcterms:modified xsi:type="dcterms:W3CDTF">2020-01-14T11:54:00Z</dcterms:modified>
</cp:coreProperties>
</file>